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sz w:val="30"/>
          <w:szCs w:val="24"/>
        </w:rPr>
      </w:pPr>
    </w:p>
    <w:p>
      <w:pPr>
        <w:spacing w:line="360" w:lineRule="auto"/>
        <w:jc w:val="center"/>
        <w:rPr>
          <w:sz w:val="30"/>
          <w:szCs w:val="24"/>
        </w:rPr>
      </w:pPr>
    </w:p>
    <w:p>
      <w:pPr>
        <w:spacing w:line="360" w:lineRule="auto"/>
        <w:jc w:val="center"/>
        <w:rPr>
          <w:sz w:val="30"/>
          <w:szCs w:val="24"/>
        </w:rPr>
      </w:pPr>
    </w:p>
    <w:p>
      <w:pPr>
        <w:jc w:val="right"/>
        <w:rPr>
          <w:rFonts w:ascii="仿宋" w:hAnsi="仿宋" w:eastAsia="仿宋" w:cs="仿宋"/>
          <w:sz w:val="30"/>
          <w:szCs w:val="30"/>
        </w:rPr>
      </w:pPr>
    </w:p>
    <w:p>
      <w:pPr>
        <w:jc w:val="right"/>
        <w:rPr>
          <w:rFonts w:ascii="仿宋" w:hAnsi="仿宋" w:eastAsia="仿宋" w:cs="仿宋"/>
          <w:sz w:val="30"/>
          <w:szCs w:val="30"/>
        </w:rPr>
      </w:pPr>
      <w:r>
        <w:rPr>
          <w:rFonts w:hint="eastAsia" w:ascii="仿宋" w:hAnsi="仿宋" w:eastAsia="仿宋" w:cs="仿宋"/>
          <w:sz w:val="30"/>
          <w:szCs w:val="30"/>
        </w:rPr>
        <w:t>岳君环评〔202</w:t>
      </w:r>
      <w:r>
        <w:rPr>
          <w:rFonts w:hint="eastAsia" w:ascii="仿宋" w:hAnsi="仿宋" w:eastAsia="仿宋" w:cs="仿宋"/>
          <w:sz w:val="30"/>
          <w:szCs w:val="30"/>
          <w:lang w:val="en-US" w:eastAsia="zh-CN"/>
        </w:rPr>
        <w:t>2</w:t>
      </w:r>
      <w:r>
        <w:rPr>
          <w:rFonts w:hint="eastAsia" w:ascii="仿宋" w:hAnsi="仿宋" w:eastAsia="仿宋" w:cs="仿宋"/>
          <w:sz w:val="30"/>
          <w:szCs w:val="30"/>
        </w:rPr>
        <w:t>〕</w:t>
      </w:r>
      <w:r>
        <w:rPr>
          <w:rFonts w:hint="eastAsia" w:ascii="仿宋" w:hAnsi="仿宋" w:eastAsia="仿宋" w:cs="仿宋"/>
          <w:sz w:val="30"/>
          <w:szCs w:val="30"/>
          <w:lang w:val="en-US" w:eastAsia="zh-CN"/>
        </w:rPr>
        <w:t>2</w:t>
      </w:r>
      <w:r>
        <w:rPr>
          <w:rFonts w:hint="eastAsia" w:ascii="仿宋" w:hAnsi="仿宋" w:eastAsia="仿宋" w:cs="仿宋"/>
          <w:sz w:val="30"/>
          <w:szCs w:val="30"/>
        </w:rPr>
        <w:t>号</w:t>
      </w:r>
    </w:p>
    <w:p>
      <w:pPr>
        <w:spacing w:line="360" w:lineRule="auto"/>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关于年产12万吨生物饲料项目环境影响报告表的</w:t>
      </w:r>
    </w:p>
    <w:p>
      <w:pPr>
        <w:spacing w:line="360" w:lineRule="auto"/>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审批意见</w:t>
      </w:r>
    </w:p>
    <w:p>
      <w:pPr>
        <w:spacing w:line="360" w:lineRule="auto"/>
        <w:rPr>
          <w:sz w:val="24"/>
          <w:szCs w:val="24"/>
        </w:rPr>
      </w:pPr>
    </w:p>
    <w:p>
      <w:pPr>
        <w:rPr>
          <w:rFonts w:ascii="仿宋" w:hAnsi="仿宋" w:eastAsia="仿宋" w:cs="仿宋"/>
          <w:sz w:val="30"/>
          <w:szCs w:val="30"/>
        </w:rPr>
      </w:pPr>
      <w:r>
        <w:rPr>
          <w:rFonts w:hint="eastAsia" w:ascii="仿宋" w:hAnsi="仿宋" w:eastAsia="仿宋" w:cs="仿宋"/>
          <w:sz w:val="30"/>
          <w:szCs w:val="30"/>
        </w:rPr>
        <w:t>岳阳嘉鑫生物科技有限公司：</w:t>
      </w:r>
    </w:p>
    <w:p>
      <w:pPr>
        <w:ind w:firstLine="600" w:firstLineChars="200"/>
        <w:rPr>
          <w:rFonts w:ascii="仿宋" w:hAnsi="仿宋" w:eastAsia="仿宋" w:cs="仿宋"/>
          <w:sz w:val="30"/>
          <w:szCs w:val="30"/>
        </w:rPr>
      </w:pPr>
      <w:r>
        <w:rPr>
          <w:rFonts w:hint="eastAsia" w:ascii="仿宋" w:hAnsi="仿宋" w:eastAsia="仿宋" w:cs="仿宋"/>
          <w:sz w:val="30"/>
          <w:szCs w:val="30"/>
        </w:rPr>
        <w:t>你公司报送的《年产12万吨生物饲料项目环境影响报告表》已收悉。我局按照建设项目管理有关规定对该项目进行审查，经研究，批复如下：</w:t>
      </w:r>
    </w:p>
    <w:p>
      <w:pPr>
        <w:ind w:firstLine="600" w:firstLineChars="200"/>
        <w:rPr>
          <w:rFonts w:ascii="仿宋" w:hAnsi="仿宋" w:eastAsia="仿宋" w:cs="仿宋"/>
          <w:sz w:val="30"/>
          <w:szCs w:val="30"/>
        </w:rPr>
      </w:pPr>
      <w:r>
        <w:rPr>
          <w:rFonts w:hint="eastAsia" w:ascii="仿宋" w:hAnsi="仿宋" w:eastAsia="仿宋" w:cs="仿宋"/>
          <w:sz w:val="30"/>
          <w:szCs w:val="30"/>
        </w:rPr>
        <w:t>岳阳嘉鑫生物科技有限公司拟</w:t>
      </w:r>
      <w:r>
        <w:rPr>
          <w:rFonts w:hint="eastAsia" w:ascii="仿宋" w:hAnsi="仿宋" w:eastAsia="仿宋" w:cs="仿宋"/>
          <w:sz w:val="30"/>
          <w:szCs w:val="30"/>
          <w:lang w:eastAsia="zh-CN"/>
        </w:rPr>
        <w:t>在君山工业园金园路7号</w:t>
      </w:r>
      <w:r>
        <w:rPr>
          <w:rFonts w:hint="eastAsia" w:ascii="仿宋" w:hAnsi="仿宋" w:eastAsia="仿宋" w:cs="仿宋"/>
          <w:sz w:val="30"/>
          <w:szCs w:val="30"/>
        </w:rPr>
        <w:t>新建年产12万吨生物饲料项目。项目</w:t>
      </w:r>
      <w:r>
        <w:rPr>
          <w:rFonts w:hint="eastAsia" w:ascii="仿宋" w:hAnsi="仿宋" w:eastAsia="仿宋" w:cs="仿宋"/>
          <w:sz w:val="30"/>
          <w:szCs w:val="30"/>
          <w:lang w:val="en-US" w:eastAsia="zh-CN"/>
        </w:rPr>
        <w:t>用地</w:t>
      </w:r>
      <w:r>
        <w:rPr>
          <w:rFonts w:hint="eastAsia" w:ascii="仿宋" w:hAnsi="仿宋" w:eastAsia="仿宋" w:cs="仿宋"/>
          <w:sz w:val="30"/>
          <w:szCs w:val="30"/>
          <w:lang w:eastAsia="zh-CN"/>
        </w:rPr>
        <w:t>总</w:t>
      </w:r>
      <w:r>
        <w:rPr>
          <w:rFonts w:hint="eastAsia" w:ascii="仿宋" w:hAnsi="仿宋" w:eastAsia="仿宋" w:cs="仿宋"/>
          <w:sz w:val="30"/>
          <w:szCs w:val="30"/>
        </w:rPr>
        <w:t>面积14200m</w:t>
      </w:r>
      <w:r>
        <w:rPr>
          <w:rFonts w:hint="eastAsia" w:ascii="仿宋" w:hAnsi="仿宋" w:eastAsia="仿宋" w:cs="仿宋"/>
          <w:sz w:val="30"/>
          <w:szCs w:val="30"/>
          <w:vertAlign w:val="superscript"/>
        </w:rPr>
        <w:t>2</w:t>
      </w:r>
      <w:r>
        <w:rPr>
          <w:rFonts w:hint="eastAsia" w:ascii="仿宋" w:hAnsi="仿宋" w:eastAsia="仿宋" w:cs="仿宋"/>
          <w:sz w:val="30"/>
          <w:szCs w:val="30"/>
        </w:rPr>
        <w:t>，总投资</w:t>
      </w:r>
      <w:r>
        <w:rPr>
          <w:rFonts w:hint="eastAsia" w:ascii="仿宋" w:hAnsi="仿宋" w:eastAsia="仿宋" w:cs="仿宋"/>
          <w:sz w:val="30"/>
          <w:szCs w:val="30"/>
          <w:lang w:val="en-US" w:eastAsia="zh-CN"/>
        </w:rPr>
        <w:t>4000</w:t>
      </w:r>
      <w:r>
        <w:rPr>
          <w:rFonts w:hint="eastAsia" w:ascii="仿宋" w:hAnsi="仿宋" w:eastAsia="仿宋" w:cs="仿宋"/>
          <w:sz w:val="30"/>
          <w:szCs w:val="30"/>
        </w:rPr>
        <w:t>万元，其中环保投资</w:t>
      </w:r>
      <w:r>
        <w:rPr>
          <w:rFonts w:hint="eastAsia" w:ascii="仿宋" w:hAnsi="仿宋" w:eastAsia="仿宋" w:cs="仿宋"/>
          <w:sz w:val="30"/>
          <w:szCs w:val="30"/>
          <w:lang w:val="en-US" w:eastAsia="zh-CN"/>
        </w:rPr>
        <w:t>65</w:t>
      </w:r>
      <w:r>
        <w:rPr>
          <w:rFonts w:hint="eastAsia" w:ascii="仿宋" w:hAnsi="仿宋" w:eastAsia="仿宋" w:cs="仿宋"/>
          <w:sz w:val="30"/>
          <w:szCs w:val="30"/>
        </w:rPr>
        <w:t>万元。项目主要建设内容为两条饲料生产线（一条饲料加工生产线，一条饲料膨化生产线），同时安装干燥机、粉碎机、膨化机等相关设备。</w:t>
      </w:r>
      <w:r>
        <w:rPr>
          <w:rFonts w:hint="eastAsia" w:ascii="仿宋" w:hAnsi="仿宋" w:eastAsia="仿宋" w:cs="仿宋"/>
          <w:sz w:val="30"/>
          <w:szCs w:val="30"/>
          <w:lang w:val="en-US" w:eastAsia="zh-CN"/>
        </w:rPr>
        <w:t>项目采用鱼、龙虾等下脚料为原料，通过破碎、蒸煮、压榨、干燥、粉碎等工艺，</w:t>
      </w:r>
      <w:r>
        <w:rPr>
          <w:rFonts w:hint="eastAsia" w:ascii="仿宋" w:hAnsi="仿宋" w:eastAsia="仿宋" w:cs="仿宋"/>
          <w:sz w:val="30"/>
          <w:szCs w:val="30"/>
        </w:rPr>
        <w:t>年生产生物饲料12万吨</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虾粉1.7万吨、鱼排粉1.6万吨、啤酒糟0.5万吨、膨化大豆3万吨、膨化小麦5万吨、鱼虾油0.2万吨</w:t>
      </w:r>
      <w:r>
        <w:rPr>
          <w:rFonts w:hint="eastAsia" w:ascii="仿宋" w:hAnsi="仿宋" w:eastAsia="仿宋" w:cs="仿宋"/>
          <w:sz w:val="30"/>
          <w:szCs w:val="30"/>
          <w:lang w:eastAsia="zh-CN"/>
        </w:rPr>
        <w:t>）</w:t>
      </w:r>
      <w:r>
        <w:rPr>
          <w:rFonts w:hint="eastAsia" w:ascii="仿宋" w:hAnsi="仿宋" w:eastAsia="仿宋" w:cs="仿宋"/>
          <w:sz w:val="30"/>
          <w:szCs w:val="30"/>
        </w:rPr>
        <w:t>。根据湖南创佳环保有限公司编制的《年产12万吨生物饲料项目环境影响报告表》基本内容、结论、专家评审意见，综合考虑，我局原则同意你公司环境影响报告表中所列建设项目的性质、规模、工艺、地点和环境保护对策措施。</w:t>
      </w:r>
    </w:p>
    <w:p>
      <w:pPr>
        <w:ind w:firstLine="600" w:firstLineChars="200"/>
        <w:rPr>
          <w:rFonts w:ascii="仿宋" w:hAnsi="仿宋" w:eastAsia="仿宋" w:cs="仿宋"/>
          <w:sz w:val="30"/>
          <w:szCs w:val="30"/>
        </w:rPr>
      </w:pPr>
      <w:r>
        <w:rPr>
          <w:rFonts w:hint="eastAsia" w:ascii="仿宋" w:hAnsi="仿宋" w:eastAsia="仿宋" w:cs="仿宋"/>
          <w:sz w:val="30"/>
          <w:szCs w:val="30"/>
        </w:rPr>
        <w:t>一、认真落实专家及环境影响报告表中提出的各项污染防治措施，并应着重注意以下问题：</w:t>
      </w:r>
    </w:p>
    <w:p>
      <w:pPr>
        <w:ind w:firstLine="600" w:firstLineChars="200"/>
        <w:rPr>
          <w:rFonts w:ascii="仿宋" w:hAnsi="仿宋" w:eastAsia="仿宋" w:cs="仿宋"/>
          <w:sz w:val="30"/>
          <w:szCs w:val="30"/>
        </w:rPr>
      </w:pPr>
      <w:bookmarkStart w:id="0" w:name="OLE_LINK5"/>
      <w:r>
        <w:rPr>
          <w:rFonts w:hint="eastAsia" w:ascii="仿宋" w:hAnsi="仿宋" w:eastAsia="仿宋" w:cs="仿宋"/>
          <w:sz w:val="30"/>
          <w:szCs w:val="30"/>
        </w:rPr>
        <w:t>（一）</w:t>
      </w:r>
      <w:bookmarkEnd w:id="0"/>
      <w:bookmarkStart w:id="1" w:name="OLE_LINK1"/>
      <w:r>
        <w:rPr>
          <w:rFonts w:hint="eastAsia" w:ascii="仿宋" w:hAnsi="仿宋" w:eastAsia="仿宋" w:cs="仿宋"/>
          <w:sz w:val="30"/>
          <w:szCs w:val="30"/>
        </w:rPr>
        <w:t>切实做好施工期环境保护工作。落实环境影响评价文件提出的各项施工期污防措施，尽量缩短施工期，合理布局施工机械，对施工场地采取围挡、加盖篷布、洒水降尘等抑尘措施，禁止在大风天作业，渣土物料运输采用密闭或其他遮覆方式，有效减轻施工及运输的扬尘污染影响；选用低噪声施工设备，合理安排施工时间，减少噪声对周边环境的影响；施工期废水经沉淀后回用，生活污水经化粪池处理后综合利用；施工期固废综合利用，生活垃圾定点收集，由环卫部门统一收集处理。</w:t>
      </w:r>
    </w:p>
    <w:p>
      <w:pPr>
        <w:ind w:firstLine="600" w:firstLineChars="200"/>
        <w:rPr>
          <w:rFonts w:ascii="仿宋" w:hAnsi="仿宋" w:eastAsia="仿宋" w:cs="仿宋"/>
          <w:sz w:val="30"/>
          <w:szCs w:val="30"/>
        </w:rPr>
      </w:pPr>
      <w:r>
        <w:rPr>
          <w:rFonts w:hint="eastAsia" w:ascii="仿宋" w:hAnsi="仿宋" w:eastAsia="仿宋" w:cs="仿宋"/>
          <w:sz w:val="30"/>
          <w:szCs w:val="30"/>
        </w:rPr>
        <w:t>（二）废水污染防治。项目实行雨、污分流，</w:t>
      </w:r>
      <w:r>
        <w:rPr>
          <w:rFonts w:hint="eastAsia" w:ascii="仿宋" w:hAnsi="仿宋" w:eastAsia="仿宋" w:cs="仿宋"/>
          <w:sz w:val="30"/>
          <w:szCs w:val="30"/>
          <w:lang w:val="en-US" w:eastAsia="zh-CN"/>
        </w:rPr>
        <w:t>生活污水、生产废水经隔油沉淀处理满足</w:t>
      </w:r>
      <w:r>
        <w:rPr>
          <w:rFonts w:hint="eastAsia" w:ascii="仿宋" w:hAnsi="仿宋" w:eastAsia="仿宋" w:cs="仿宋"/>
          <w:sz w:val="30"/>
          <w:szCs w:val="30"/>
        </w:rPr>
        <w:t>君山区第二污水处理厂预处理中心</w:t>
      </w:r>
      <w:r>
        <w:rPr>
          <w:rFonts w:hint="eastAsia" w:ascii="仿宋" w:hAnsi="仿宋" w:eastAsia="仿宋" w:cs="仿宋"/>
          <w:sz w:val="30"/>
          <w:szCs w:val="30"/>
          <w:lang w:val="en-US" w:eastAsia="zh-CN"/>
        </w:rPr>
        <w:t>接纳标准</w:t>
      </w:r>
      <w:r>
        <w:rPr>
          <w:rFonts w:hint="eastAsia" w:ascii="仿宋" w:hAnsi="仿宋" w:eastAsia="仿宋" w:cs="仿宋"/>
          <w:sz w:val="30"/>
          <w:szCs w:val="30"/>
        </w:rPr>
        <w:t>后</w:t>
      </w:r>
      <w:r>
        <w:rPr>
          <w:rFonts w:hint="eastAsia" w:ascii="仿宋" w:hAnsi="仿宋" w:eastAsia="仿宋" w:cs="仿宋"/>
          <w:sz w:val="30"/>
          <w:szCs w:val="30"/>
          <w:lang w:val="en-US" w:eastAsia="zh-CN"/>
        </w:rPr>
        <w:t>一起排</w:t>
      </w:r>
      <w:r>
        <w:rPr>
          <w:rFonts w:hint="eastAsia" w:ascii="仿宋" w:hAnsi="仿宋" w:eastAsia="仿宋" w:cs="仿宋"/>
          <w:sz w:val="30"/>
          <w:szCs w:val="30"/>
        </w:rPr>
        <w:t>入君山区第二污水处理厂预处理中心进行处理</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最终进入</w:t>
      </w:r>
      <w:r>
        <w:rPr>
          <w:rFonts w:hint="eastAsia" w:ascii="仿宋" w:hAnsi="仿宋" w:eastAsia="仿宋" w:cs="仿宋"/>
          <w:sz w:val="30"/>
          <w:szCs w:val="30"/>
        </w:rPr>
        <w:t>君山区第二污水处理厂</w:t>
      </w:r>
      <w:r>
        <w:rPr>
          <w:rFonts w:hint="eastAsia" w:ascii="仿宋" w:hAnsi="仿宋" w:eastAsia="仿宋" w:cs="仿宋"/>
          <w:sz w:val="30"/>
          <w:szCs w:val="30"/>
          <w:lang w:val="en-US" w:eastAsia="zh-CN"/>
        </w:rPr>
        <w:t>处理后外排</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（三）大气污染防治。</w:t>
      </w:r>
      <w:r>
        <w:rPr>
          <w:rFonts w:hint="eastAsia" w:ascii="仿宋" w:hAnsi="仿宋" w:eastAsia="仿宋" w:cs="仿宋"/>
          <w:sz w:val="30"/>
          <w:szCs w:val="30"/>
          <w:lang w:val="en-US" w:eastAsia="zh-CN"/>
        </w:rPr>
        <w:t>项目原材料采用微负压密闭车间堆放，生产产生的恶臭气体负压收集后经冷凝处理再通过除臭喷淋塔除臭满足《恶臭污染物排放标准》（GB14554-93）表2污染物排放限值后，通过15m高1号排气筒排放。加工线、膨化线产生的粉尘经布袋除尘器处理满足《大气污染物综合排放标准》（GB16297-1996）表2中二级有组织标准限值后通过15m高2号排气筒排放。项目贮存大豆和小麦的筒仓产生的粉尘经脉冲袋除尘器处理满足大气污染物综合排放标准》（GB16297-1996）表2中二级无组织标准限值后排放。食堂油烟废气经油烟净化处理设施（去除率≥85%）处理满足《饮食业油烟排放标准》（GB 18483-2001）的要求后，通过专用烟道排放。合理平面布局，加强厂区绿化，采取有效防止措施减少恶臭影响</w:t>
      </w:r>
      <w:r>
        <w:rPr>
          <w:rFonts w:hint="eastAsia" w:ascii="仿宋" w:hAnsi="仿宋" w:eastAsia="仿宋" w:cs="仿宋"/>
          <w:sz w:val="30"/>
          <w:szCs w:val="30"/>
        </w:rPr>
        <w:t>。</w:t>
      </w:r>
    </w:p>
    <w:p>
      <w:pPr>
        <w:ind w:firstLine="600" w:firstLineChars="200"/>
        <w:rPr>
          <w:rFonts w:ascii="仿宋" w:hAnsi="仿宋" w:eastAsia="仿宋" w:cs="仿宋"/>
          <w:sz w:val="30"/>
          <w:szCs w:val="30"/>
        </w:rPr>
      </w:pPr>
      <w:r>
        <w:rPr>
          <w:rFonts w:hint="eastAsia" w:ascii="仿宋" w:hAnsi="仿宋" w:eastAsia="仿宋" w:cs="仿宋"/>
          <w:sz w:val="30"/>
          <w:szCs w:val="30"/>
        </w:rPr>
        <w:t>（四）噪声污染防治。选用低噪声设备、合理平面布局，确保厂界噪声达到《工业企业厂界环境噪声排放标准》（GB 12348-2008）3类标准要求。</w:t>
      </w:r>
    </w:p>
    <w:p>
      <w:pPr>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（五）固体废物污染防治。认真落实一般固废分类收集、处置和综合利用措施；生活垃圾由环卫部门定期清运</w:t>
      </w:r>
      <w:r>
        <w:rPr>
          <w:rFonts w:hint="eastAsia" w:ascii="仿宋" w:hAnsi="仿宋" w:eastAsia="仿宋" w:cs="仿宋"/>
          <w:sz w:val="30"/>
          <w:szCs w:val="30"/>
          <w:lang w:eastAsia="zh-CN"/>
        </w:rPr>
        <w:t>。</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六</w:t>
      </w:r>
      <w:r>
        <w:rPr>
          <w:rFonts w:hint="eastAsia" w:ascii="仿宋" w:hAnsi="仿宋" w:eastAsia="仿宋" w:cs="仿宋"/>
          <w:sz w:val="30"/>
          <w:szCs w:val="30"/>
          <w:lang w:eastAsia="zh-CN"/>
        </w:rPr>
        <w:t>）</w:t>
      </w:r>
      <w:r>
        <w:rPr>
          <w:rFonts w:hint="eastAsia" w:ascii="仿宋" w:hAnsi="仿宋" w:eastAsia="仿宋" w:cs="仿宋"/>
          <w:sz w:val="30"/>
          <w:szCs w:val="30"/>
        </w:rPr>
        <w:t>加强环境管理，建立健全的污染防治设施运行管理</w:t>
      </w:r>
      <w:r>
        <w:rPr>
          <w:rFonts w:hint="eastAsia" w:ascii="仿宋" w:hAnsi="仿宋" w:eastAsia="仿宋" w:cs="仿宋"/>
          <w:sz w:val="30"/>
          <w:szCs w:val="30"/>
          <w:lang w:val="en-US" w:eastAsia="zh-CN"/>
        </w:rPr>
        <w:t>台账</w:t>
      </w:r>
      <w:r>
        <w:rPr>
          <w:rFonts w:hint="eastAsia" w:ascii="仿宋" w:hAnsi="仿宋" w:eastAsia="仿宋" w:cs="仿宋"/>
          <w:sz w:val="30"/>
          <w:szCs w:val="30"/>
        </w:rPr>
        <w:t>，设</w:t>
      </w:r>
      <w:r>
        <w:rPr>
          <w:rFonts w:hint="eastAsia" w:ascii="仿宋" w:hAnsi="仿宋" w:eastAsia="仿宋" w:cs="仿宋"/>
          <w:sz w:val="30"/>
          <w:szCs w:val="30"/>
          <w:lang w:val="en-US" w:eastAsia="zh-CN"/>
        </w:rPr>
        <w:t>立</w:t>
      </w:r>
      <w:r>
        <w:rPr>
          <w:rFonts w:hint="eastAsia" w:ascii="仿宋" w:hAnsi="仿宋" w:eastAsia="仿宋" w:cs="仿宋"/>
          <w:sz w:val="30"/>
          <w:szCs w:val="30"/>
        </w:rPr>
        <w:t>专门的环保机构，配备专人负责环保工作，确保各项污染防治设施正常运行，各类污染物稳定达标排放。</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七</w:t>
      </w:r>
      <w:r>
        <w:rPr>
          <w:rFonts w:hint="eastAsia" w:ascii="仿宋" w:hAnsi="仿宋" w:eastAsia="仿宋" w:cs="仿宋"/>
          <w:sz w:val="30"/>
          <w:szCs w:val="30"/>
          <w:lang w:eastAsia="zh-CN"/>
        </w:rPr>
        <w:t>）</w:t>
      </w:r>
      <w:r>
        <w:rPr>
          <w:rFonts w:hint="eastAsia" w:ascii="仿宋" w:hAnsi="仿宋" w:eastAsia="仿宋" w:cs="仿宋"/>
          <w:sz w:val="30"/>
          <w:szCs w:val="30"/>
        </w:rPr>
        <w:t>污染物总量控制指标：COD≤</w:t>
      </w:r>
      <w:r>
        <w:rPr>
          <w:rFonts w:hint="eastAsia" w:ascii="仿宋" w:hAnsi="仿宋" w:eastAsia="仿宋" w:cs="仿宋"/>
          <w:sz w:val="30"/>
          <w:szCs w:val="30"/>
          <w:lang w:val="en-US" w:eastAsia="zh-CN"/>
        </w:rPr>
        <w:t>1.1</w:t>
      </w:r>
      <w:r>
        <w:rPr>
          <w:rFonts w:hint="eastAsia" w:ascii="仿宋" w:hAnsi="仿宋" w:eastAsia="仿宋" w:cs="仿宋"/>
          <w:sz w:val="30"/>
          <w:szCs w:val="30"/>
        </w:rPr>
        <w:t>t/a、NH3-N≤0.</w:t>
      </w:r>
      <w:r>
        <w:rPr>
          <w:rFonts w:hint="eastAsia" w:ascii="仿宋" w:hAnsi="仿宋" w:eastAsia="仿宋" w:cs="仿宋"/>
          <w:sz w:val="30"/>
          <w:szCs w:val="30"/>
          <w:lang w:val="en-US" w:eastAsia="zh-CN"/>
        </w:rPr>
        <w:t>2</w:t>
      </w:r>
      <w:r>
        <w:rPr>
          <w:rFonts w:hint="eastAsia" w:ascii="仿宋" w:hAnsi="仿宋" w:eastAsia="仿宋" w:cs="仿宋"/>
          <w:sz w:val="30"/>
          <w:szCs w:val="30"/>
        </w:rPr>
        <w:t>t/</w:t>
      </w:r>
      <w:r>
        <w:rPr>
          <w:rFonts w:hint="eastAsia" w:ascii="仿宋" w:hAnsi="仿宋" w:eastAsia="仿宋" w:cs="仿宋"/>
          <w:sz w:val="30"/>
          <w:szCs w:val="30"/>
          <w:lang w:val="en-US" w:eastAsia="zh-CN"/>
        </w:rPr>
        <w:t>a</w:t>
      </w:r>
      <w:r>
        <w:rPr>
          <w:rFonts w:hint="eastAsia" w:ascii="仿宋" w:hAnsi="仿宋" w:eastAsia="仿宋" w:cs="仿宋"/>
          <w:sz w:val="30"/>
          <w:szCs w:val="30"/>
        </w:rPr>
        <w:t>。</w:t>
      </w:r>
    </w:p>
    <w:p>
      <w:pPr>
        <w:ind w:firstLine="600" w:firstLineChars="200"/>
        <w:rPr>
          <w:rFonts w:hint="default" w:ascii="仿宋" w:hAnsi="仿宋" w:eastAsia="仿宋" w:cs="仿宋"/>
          <w:sz w:val="30"/>
          <w:szCs w:val="30"/>
          <w:lang w:val="en-US" w:eastAsia="zh-CN"/>
        </w:rPr>
      </w:pPr>
      <w:r>
        <w:rPr>
          <w:rFonts w:hint="eastAsia" w:ascii="仿宋" w:hAnsi="仿宋" w:eastAsia="仿宋" w:cs="仿宋"/>
          <w:sz w:val="30"/>
          <w:szCs w:val="30"/>
        </w:rPr>
        <w:t>二、</w:t>
      </w:r>
      <w:r>
        <w:rPr>
          <w:rFonts w:hint="eastAsia" w:ascii="仿宋" w:hAnsi="仿宋" w:eastAsia="仿宋" w:cs="仿宋"/>
          <w:sz w:val="30"/>
          <w:szCs w:val="30"/>
          <w:lang w:val="en-US" w:eastAsia="zh-CN"/>
        </w:rPr>
        <w:t>项目建设单位应当保证环境影响评价文件的真实、可靠、有效，并按照文件要求落实各项</w:t>
      </w:r>
      <w:r>
        <w:rPr>
          <w:rFonts w:hint="eastAsia" w:ascii="仿宋" w:hAnsi="仿宋" w:eastAsia="仿宋" w:cs="仿宋"/>
          <w:sz w:val="30"/>
          <w:szCs w:val="30"/>
        </w:rPr>
        <w:t>污防措施</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否则，我局将有权</w:t>
      </w:r>
      <w:bookmarkStart w:id="2" w:name="_GoBack"/>
      <w:bookmarkEnd w:id="2"/>
      <w:r>
        <w:rPr>
          <w:rFonts w:hint="eastAsia" w:ascii="仿宋" w:hAnsi="仿宋" w:eastAsia="仿宋" w:cs="仿宋"/>
          <w:sz w:val="30"/>
          <w:szCs w:val="30"/>
          <w:lang w:val="en-US" w:eastAsia="zh-CN"/>
        </w:rPr>
        <w:t>撤销该批复。</w:t>
      </w:r>
    </w:p>
    <w:p>
      <w:pPr>
        <w:ind w:firstLine="600" w:firstLineChars="200"/>
        <w:rPr>
          <w:rFonts w:ascii="仿宋" w:hAnsi="仿宋" w:eastAsia="仿宋" w:cs="仿宋"/>
          <w:sz w:val="30"/>
          <w:szCs w:val="30"/>
        </w:rPr>
      </w:pPr>
      <w:r>
        <w:rPr>
          <w:rFonts w:hint="eastAsia" w:ascii="仿宋" w:hAnsi="仿宋" w:eastAsia="仿宋" w:cs="仿宋"/>
          <w:sz w:val="30"/>
          <w:szCs w:val="30"/>
          <w:lang w:val="en-US" w:eastAsia="zh-CN"/>
        </w:rPr>
        <w:t>三、</w:t>
      </w:r>
      <w:r>
        <w:rPr>
          <w:rFonts w:hint="eastAsia" w:ascii="仿宋" w:hAnsi="仿宋" w:eastAsia="仿宋" w:cs="仿宋"/>
          <w:sz w:val="30"/>
          <w:szCs w:val="30"/>
        </w:rPr>
        <w:t>你单位应在收到本批复后15个工作日内，将批复及该项目环评报批稿送至岳阳市君山区环境监察大队、</w:t>
      </w:r>
      <w:r>
        <w:rPr>
          <w:rFonts w:hint="eastAsia" w:ascii="仿宋" w:hAnsi="仿宋" w:eastAsia="仿宋" w:cs="仿宋"/>
          <w:sz w:val="30"/>
          <w:szCs w:val="30"/>
          <w:lang w:val="en-US" w:eastAsia="zh-CN"/>
        </w:rPr>
        <w:t>岳阳市君山区工业园管理委员会、</w:t>
      </w:r>
      <w:r>
        <w:rPr>
          <w:rFonts w:hint="eastAsia" w:ascii="仿宋" w:hAnsi="仿宋" w:eastAsia="仿宋" w:cs="仿宋"/>
          <w:sz w:val="30"/>
          <w:szCs w:val="30"/>
        </w:rPr>
        <w:t>湖南创佳环保有限公司。</w:t>
      </w:r>
    </w:p>
    <w:p>
      <w:pPr>
        <w:ind w:firstLine="600" w:firstLineChars="200"/>
        <w:rPr>
          <w:rFonts w:hint="eastAsia" w:ascii="仿宋" w:hAnsi="仿宋" w:eastAsia="仿宋" w:cs="_4eff_5b8b_GB2312"/>
          <w:bCs/>
          <w:color w:val="000000"/>
          <w:sz w:val="32"/>
          <w:szCs w:val="32"/>
        </w:rPr>
      </w:pPr>
      <w:r>
        <w:rPr>
          <w:rFonts w:hint="eastAsia" w:ascii="仿宋" w:hAnsi="仿宋" w:eastAsia="仿宋" w:cs="仿宋"/>
          <w:sz w:val="30"/>
          <w:szCs w:val="30"/>
          <w:lang w:val="en-US" w:eastAsia="zh-CN"/>
        </w:rPr>
        <w:t>四</w:t>
      </w:r>
      <w:r>
        <w:rPr>
          <w:rFonts w:hint="eastAsia" w:ascii="仿宋" w:hAnsi="仿宋" w:eastAsia="仿宋" w:cs="仿宋"/>
          <w:sz w:val="30"/>
          <w:szCs w:val="30"/>
        </w:rPr>
        <w:t>、岳阳市君山区环境监察大队负责项目建设期的日常环境监管。</w:t>
      </w:r>
      <w:bookmarkEnd w:id="1"/>
    </w:p>
    <w:p>
      <w:pPr>
        <w:spacing w:line="520" w:lineRule="exact"/>
        <w:ind w:firstLine="4480" w:firstLineChars="1400"/>
        <w:rPr>
          <w:rFonts w:hint="eastAsia" w:ascii="仿宋" w:hAnsi="仿宋" w:eastAsia="仿宋" w:cs="_4eff_5b8b_GB2312"/>
          <w:bCs/>
          <w:color w:val="000000"/>
          <w:sz w:val="32"/>
          <w:szCs w:val="32"/>
        </w:rPr>
      </w:pPr>
    </w:p>
    <w:p>
      <w:pPr>
        <w:spacing w:line="520" w:lineRule="exact"/>
        <w:ind w:firstLine="4480" w:firstLineChars="1400"/>
        <w:rPr>
          <w:rFonts w:ascii="仿宋" w:hAnsi="仿宋" w:eastAsia="仿宋" w:cs="_4eff_5b8b_GB2312"/>
          <w:bCs/>
          <w:color w:val="000000"/>
          <w:sz w:val="32"/>
          <w:szCs w:val="32"/>
        </w:rPr>
      </w:pPr>
      <w:r>
        <w:rPr>
          <w:rFonts w:hint="eastAsia" w:ascii="仿宋" w:hAnsi="仿宋" w:eastAsia="仿宋" w:cs="_4eff_5b8b_GB2312"/>
          <w:bCs/>
          <w:color w:val="000000"/>
          <w:sz w:val="32"/>
          <w:szCs w:val="32"/>
        </w:rPr>
        <w:t>岳阳市生态环境局</w:t>
      </w:r>
    </w:p>
    <w:p>
      <w:pPr>
        <w:spacing w:line="520" w:lineRule="exact"/>
        <w:ind w:firstLine="4480" w:firstLineChars="1400"/>
        <w:rPr>
          <w:rFonts w:ascii="仿宋" w:hAnsi="仿宋" w:eastAsia="仿宋" w:cs="仿宋"/>
          <w:sz w:val="30"/>
          <w:szCs w:val="30"/>
        </w:rPr>
      </w:pPr>
      <w:r>
        <w:rPr>
          <w:rFonts w:hint="eastAsia" w:ascii="仿宋" w:hAnsi="仿宋" w:eastAsia="仿宋" w:cs="_4eff_5b8b_GB2312"/>
          <w:bCs/>
          <w:color w:val="000000"/>
          <w:sz w:val="32"/>
          <w:szCs w:val="32"/>
        </w:rPr>
        <w:t>202</w:t>
      </w:r>
      <w:r>
        <w:rPr>
          <w:rFonts w:hint="eastAsia" w:ascii="仿宋" w:hAnsi="仿宋" w:eastAsia="仿宋" w:cs="_4eff_5b8b_GB2312"/>
          <w:bCs/>
          <w:color w:val="000000"/>
          <w:sz w:val="32"/>
          <w:szCs w:val="32"/>
          <w:lang w:val="en-US" w:eastAsia="zh-CN"/>
        </w:rPr>
        <w:t>2</w:t>
      </w:r>
      <w:r>
        <w:rPr>
          <w:rFonts w:hint="eastAsia" w:ascii="仿宋" w:hAnsi="仿宋" w:eastAsia="仿宋" w:cs="_4eff_5b8b_GB2312"/>
          <w:bCs/>
          <w:color w:val="000000"/>
          <w:sz w:val="32"/>
          <w:szCs w:val="32"/>
        </w:rPr>
        <w:t>年</w:t>
      </w:r>
      <w:r>
        <w:rPr>
          <w:rFonts w:hint="eastAsia" w:ascii="仿宋" w:hAnsi="仿宋" w:eastAsia="仿宋" w:cs="_4eff_5b8b_GB2312"/>
          <w:bCs/>
          <w:color w:val="000000"/>
          <w:sz w:val="32"/>
          <w:szCs w:val="32"/>
          <w:lang w:val="en-US" w:eastAsia="zh-CN"/>
        </w:rPr>
        <w:t>5</w:t>
      </w:r>
      <w:r>
        <w:rPr>
          <w:rFonts w:hint="eastAsia" w:ascii="仿宋" w:hAnsi="仿宋" w:eastAsia="仿宋" w:cs="_4eff_5b8b_GB2312"/>
          <w:bCs/>
          <w:color w:val="000000"/>
          <w:sz w:val="32"/>
          <w:szCs w:val="32"/>
        </w:rPr>
        <w:t>月</w:t>
      </w:r>
      <w:r>
        <w:rPr>
          <w:rFonts w:hint="eastAsia" w:ascii="仿宋" w:hAnsi="仿宋" w:eastAsia="仿宋" w:cs="_4eff_5b8b_GB2312"/>
          <w:bCs/>
          <w:color w:val="000000"/>
          <w:sz w:val="32"/>
          <w:szCs w:val="32"/>
          <w:lang w:val="en-US" w:eastAsia="zh-CN"/>
        </w:rPr>
        <w:t>12</w:t>
      </w:r>
      <w:r>
        <w:rPr>
          <w:rFonts w:hint="eastAsia" w:ascii="仿宋" w:hAnsi="仿宋" w:eastAsia="仿宋" w:cs="_4eff_5b8b_GB2312"/>
          <w:bCs/>
          <w:color w:val="000000"/>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_4eff_5b8b_GB2312">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lowerLetter"/>
      <w:lvlText w:val="%1."/>
      <w:lvlJc w:val="left"/>
      <w:pPr>
        <w:tabs>
          <w:tab w:val="left" w:pos="420"/>
        </w:tabs>
        <w:ind w:left="0" w:firstLine="539"/>
      </w:pPr>
      <w:rPr>
        <w:rFonts w:hint="eastAsia"/>
      </w:rPr>
    </w:lvl>
    <w:lvl w:ilvl="1" w:tentative="0">
      <w:start w:val="1"/>
      <w:numFmt w:val="lowerLetter"/>
      <w:lvlText w:val="%2)"/>
      <w:lvlJc w:val="left"/>
      <w:pPr>
        <w:tabs>
          <w:tab w:val="left" w:pos="840"/>
        </w:tabs>
        <w:ind w:left="840" w:hanging="420"/>
      </w:pPr>
    </w:lvl>
    <w:lvl w:ilvl="2" w:tentative="0">
      <w:start w:val="1"/>
      <w:numFmt w:val="lowerRoman"/>
      <w:pStyle w:val="5"/>
      <w:lvlText w:val="%3."/>
      <w:lvlJc w:val="right"/>
      <w:pPr>
        <w:tabs>
          <w:tab w:val="left" w:pos="1260"/>
        </w:tabs>
        <w:ind w:left="1260" w:hanging="420"/>
      </w:pPr>
    </w:lvl>
    <w:lvl w:ilvl="3" w:tentative="0">
      <w:start w:val="1"/>
      <w:numFmt w:val="decimal"/>
      <w:pStyle w:val="4"/>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D851E95"/>
    <w:multiLevelType w:val="multilevel"/>
    <w:tmpl w:val="1D851E95"/>
    <w:lvl w:ilvl="0" w:tentative="0">
      <w:start w:val="1"/>
      <w:numFmt w:val="japaneseCounting"/>
      <w:lvlText w:val="%1、"/>
      <w:lvlJc w:val="left"/>
      <w:pPr>
        <w:tabs>
          <w:tab w:val="left" w:pos="585"/>
        </w:tabs>
        <w:ind w:left="585" w:hanging="480"/>
      </w:pPr>
      <w:rPr>
        <w:rFonts w:hint="default"/>
      </w:rPr>
    </w:lvl>
    <w:lvl w:ilvl="1" w:tentative="0">
      <w:start w:val="1"/>
      <w:numFmt w:val="lowerLetter"/>
      <w:pStyle w:val="6"/>
      <w:lvlText w:val="%2)"/>
      <w:lvlJc w:val="left"/>
      <w:pPr>
        <w:tabs>
          <w:tab w:val="left" w:pos="945"/>
        </w:tabs>
        <w:ind w:left="945" w:hanging="420"/>
      </w:pPr>
    </w:lvl>
    <w:lvl w:ilvl="2" w:tentative="0">
      <w:start w:val="1"/>
      <w:numFmt w:val="lowerRoman"/>
      <w:lvlText w:val="%3."/>
      <w:lvlJc w:val="right"/>
      <w:pPr>
        <w:tabs>
          <w:tab w:val="left" w:pos="1365"/>
        </w:tabs>
        <w:ind w:left="1365" w:hanging="420"/>
      </w:pPr>
    </w:lvl>
    <w:lvl w:ilvl="3" w:tentative="0">
      <w:start w:val="1"/>
      <w:numFmt w:val="decimal"/>
      <w:lvlText w:val="%4."/>
      <w:lvlJc w:val="left"/>
      <w:pPr>
        <w:tabs>
          <w:tab w:val="left" w:pos="1785"/>
        </w:tabs>
        <w:ind w:left="1785" w:hanging="420"/>
      </w:pPr>
    </w:lvl>
    <w:lvl w:ilvl="4" w:tentative="0">
      <w:start w:val="1"/>
      <w:numFmt w:val="lowerLetter"/>
      <w:lvlText w:val="%5)"/>
      <w:lvlJc w:val="left"/>
      <w:pPr>
        <w:tabs>
          <w:tab w:val="left" w:pos="2205"/>
        </w:tabs>
        <w:ind w:left="2205" w:hanging="420"/>
      </w:pPr>
    </w:lvl>
    <w:lvl w:ilvl="5" w:tentative="0">
      <w:start w:val="1"/>
      <w:numFmt w:val="lowerRoman"/>
      <w:lvlText w:val="%6."/>
      <w:lvlJc w:val="right"/>
      <w:pPr>
        <w:tabs>
          <w:tab w:val="left" w:pos="2625"/>
        </w:tabs>
        <w:ind w:left="2625" w:hanging="420"/>
      </w:pPr>
    </w:lvl>
    <w:lvl w:ilvl="6" w:tentative="0">
      <w:start w:val="1"/>
      <w:numFmt w:val="decimal"/>
      <w:lvlText w:val="%7."/>
      <w:lvlJc w:val="left"/>
      <w:pPr>
        <w:tabs>
          <w:tab w:val="left" w:pos="3045"/>
        </w:tabs>
        <w:ind w:left="3045" w:hanging="420"/>
      </w:pPr>
    </w:lvl>
    <w:lvl w:ilvl="7" w:tentative="0">
      <w:start w:val="1"/>
      <w:numFmt w:val="lowerLetter"/>
      <w:lvlText w:val="%8)"/>
      <w:lvlJc w:val="left"/>
      <w:pPr>
        <w:tabs>
          <w:tab w:val="left" w:pos="3465"/>
        </w:tabs>
        <w:ind w:left="3465" w:hanging="420"/>
      </w:pPr>
    </w:lvl>
    <w:lvl w:ilvl="8" w:tentative="0">
      <w:start w:val="1"/>
      <w:numFmt w:val="lowerRoman"/>
      <w:lvlText w:val="%9."/>
      <w:lvlJc w:val="right"/>
      <w:pPr>
        <w:tabs>
          <w:tab w:val="left" w:pos="3885"/>
        </w:tabs>
        <w:ind w:left="388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ODdjODZkZjFhODRiY2M0ZDk3MjE5NjdkMmQxYjUifQ=="/>
  </w:docVars>
  <w:rsids>
    <w:rsidRoot w:val="04C6627A"/>
    <w:rsid w:val="0049144E"/>
    <w:rsid w:val="004D382B"/>
    <w:rsid w:val="0082775E"/>
    <w:rsid w:val="00A92163"/>
    <w:rsid w:val="00DC5F66"/>
    <w:rsid w:val="00F767C8"/>
    <w:rsid w:val="04C6627A"/>
    <w:rsid w:val="0A686B0F"/>
    <w:rsid w:val="0CA723DA"/>
    <w:rsid w:val="153174E5"/>
    <w:rsid w:val="26B3510E"/>
    <w:rsid w:val="270F17DF"/>
    <w:rsid w:val="272D624B"/>
    <w:rsid w:val="30F961DB"/>
    <w:rsid w:val="32DD7D9A"/>
    <w:rsid w:val="35992759"/>
    <w:rsid w:val="557430F7"/>
    <w:rsid w:val="57B60B1F"/>
    <w:rsid w:val="58250F70"/>
    <w:rsid w:val="60410761"/>
    <w:rsid w:val="689325A8"/>
    <w:rsid w:val="6A2A4E03"/>
    <w:rsid w:val="6B4B64F8"/>
    <w:rsid w:val="6CE90D53"/>
    <w:rsid w:val="6F7B7BBA"/>
    <w:rsid w:val="7C850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8">
    <w:name w:val="heading 2"/>
    <w:basedOn w:val="1"/>
    <w:next w:val="1"/>
    <w:unhideWhenUsed/>
    <w:qFormat/>
    <w:uiPriority w:val="9"/>
    <w:pPr>
      <w:pBdr>
        <w:bottom w:val="single" w:color="5B9BD5" w:themeColor="accent1" w:sz="8" w:space="1"/>
      </w:pBdr>
      <w:spacing w:before="200" w:after="80"/>
      <w:outlineLvl w:val="1"/>
    </w:pPr>
    <w:rPr>
      <w:rFonts w:asciiTheme="majorHAnsi" w:hAnsiTheme="majorHAnsi" w:eastAsiaTheme="majorEastAsia" w:cstheme="majorBidi"/>
      <w:color w:val="2E75B6" w:themeColor="accent1" w:themeShade="BF"/>
      <w:sz w:val="24"/>
      <w:szCs w:val="24"/>
    </w:rPr>
  </w:style>
  <w:style w:type="paragraph" w:styleId="9">
    <w:name w:val="heading 3"/>
    <w:basedOn w:val="8"/>
    <w:next w:val="1"/>
    <w:unhideWhenUsed/>
    <w:qFormat/>
    <w:uiPriority w:val="9"/>
    <w:pPr>
      <w:pBdr>
        <w:bottom w:val="single" w:color="9CC2E5" w:themeColor="accent1" w:themeTint="99" w:sz="4" w:space="1"/>
      </w:pBdr>
      <w:outlineLvl w:val="2"/>
    </w:pPr>
    <w:rPr>
      <w:color w:val="5B9BD5" w:themeColor="accent1"/>
      <w14:textFill>
        <w14:solidFill>
          <w14:schemeClr w14:val="accent1"/>
        </w14:solidFill>
      </w14:textFill>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四级条标题"/>
    <w:basedOn w:val="3"/>
    <w:next w:val="7"/>
    <w:qFormat/>
    <w:uiPriority w:val="0"/>
    <w:pPr>
      <w:widowControl/>
      <w:numPr>
        <w:ilvl w:val="3"/>
        <w:numId w:val="0"/>
      </w:numPr>
      <w:tabs>
        <w:tab w:val="left" w:pos="945"/>
        <w:tab w:val="left" w:pos="1260"/>
        <w:tab w:val="left" w:pos="1680"/>
      </w:tabs>
      <w:outlineLvl w:val="5"/>
    </w:pPr>
    <w:rPr>
      <w:rFonts w:ascii="黑体" w:eastAsia="黑体"/>
      <w:kern w:val="0"/>
      <w:szCs w:val="20"/>
    </w:rPr>
  </w:style>
  <w:style w:type="paragraph" w:customStyle="1" w:styleId="3">
    <w:name w:val="三级条标题"/>
    <w:basedOn w:val="4"/>
    <w:next w:val="7"/>
    <w:qFormat/>
    <w:uiPriority w:val="0"/>
    <w:pPr>
      <w:numPr>
        <w:ilvl w:val="3"/>
        <w:numId w:val="0"/>
      </w:numPr>
      <w:tabs>
        <w:tab w:val="left" w:pos="945"/>
        <w:tab w:val="left" w:pos="1260"/>
        <w:tab w:val="left" w:pos="1680"/>
      </w:tabs>
      <w:outlineLvl w:val="4"/>
    </w:pPr>
  </w:style>
  <w:style w:type="paragraph" w:customStyle="1" w:styleId="4">
    <w:name w:val="二级条标题"/>
    <w:basedOn w:val="5"/>
    <w:next w:val="7"/>
    <w:qFormat/>
    <w:uiPriority w:val="0"/>
    <w:pPr>
      <w:numPr>
        <w:ilvl w:val="3"/>
        <w:numId w:val="1"/>
      </w:numPr>
      <w:tabs>
        <w:tab w:val="left" w:pos="945"/>
        <w:tab w:val="left" w:pos="1260"/>
      </w:tabs>
      <w:outlineLvl w:val="3"/>
    </w:pPr>
  </w:style>
  <w:style w:type="paragraph" w:customStyle="1" w:styleId="5">
    <w:name w:val="一级条标题"/>
    <w:basedOn w:val="6"/>
    <w:next w:val="7"/>
    <w:qFormat/>
    <w:uiPriority w:val="0"/>
    <w:pPr>
      <w:numPr>
        <w:ilvl w:val="2"/>
        <w:numId w:val="1"/>
      </w:numPr>
      <w:tabs>
        <w:tab w:val="left" w:pos="945"/>
      </w:tabs>
      <w:spacing w:before="0" w:beforeLines="0" w:after="0" w:afterLines="0"/>
      <w:outlineLvl w:val="2"/>
    </w:pPr>
  </w:style>
  <w:style w:type="paragraph" w:customStyle="1" w:styleId="6">
    <w:name w:val="章标题"/>
    <w:next w:val="7"/>
    <w:qFormat/>
    <w:uiPriority w:val="0"/>
    <w:pPr>
      <w:numPr>
        <w:ilvl w:val="1"/>
        <w:numId w:val="2"/>
      </w:numPr>
      <w:spacing w:before="50" w:after="50"/>
      <w:jc w:val="both"/>
      <w:outlineLvl w:val="1"/>
    </w:pPr>
    <w:rPr>
      <w:rFonts w:ascii="黑体" w:hAnsi="Calibri" w:eastAsia="黑体" w:cs="Times New Roman"/>
      <w:sz w:val="21"/>
      <w:lang w:val="en-US" w:eastAsia="zh-CN" w:bidi="ar-SA"/>
    </w:rPr>
  </w:style>
  <w:style w:type="paragraph" w:customStyle="1" w:styleId="7">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10">
    <w:name w:val="Body Text"/>
    <w:basedOn w:val="1"/>
    <w:next w:val="11"/>
    <w:qFormat/>
    <w:uiPriority w:val="0"/>
    <w:pPr>
      <w:spacing w:after="120"/>
    </w:pPr>
    <w:rPr>
      <w:rFonts w:ascii="Times New Roman" w:hAnsi="Times New Roman" w:eastAsia="宋体" w:cs="Times New Roman"/>
    </w:rPr>
  </w:style>
  <w:style w:type="paragraph" w:customStyle="1" w:styleId="11">
    <w:name w:val="xl27"/>
    <w:basedOn w:val="1"/>
    <w:next w:val="1"/>
    <w:qFormat/>
    <w:uiPriority w:val="0"/>
    <w:pPr>
      <w:widowControl/>
      <w:spacing w:before="100" w:beforeAutospacing="1" w:after="100" w:afterAutospacing="1"/>
      <w:jc w:val="left"/>
    </w:pPr>
    <w:rPr>
      <w:color w:val="FF0000"/>
      <w:kern w:val="0"/>
    </w:rPr>
  </w:style>
  <w:style w:type="paragraph" w:styleId="12">
    <w:name w:val="Body Text Indent"/>
    <w:basedOn w:val="1"/>
    <w:next w:val="13"/>
    <w:qFormat/>
    <w:uiPriority w:val="0"/>
    <w:pPr>
      <w:spacing w:after="120"/>
      <w:ind w:left="420" w:leftChars="200"/>
    </w:pPr>
  </w:style>
  <w:style w:type="paragraph" w:styleId="13">
    <w:name w:val="Body Text First Indent 2"/>
    <w:basedOn w:val="12"/>
    <w:next w:val="14"/>
    <w:qFormat/>
    <w:uiPriority w:val="0"/>
    <w:pPr>
      <w:ind w:firstLine="420"/>
    </w:pPr>
  </w:style>
  <w:style w:type="paragraph" w:styleId="14">
    <w:name w:val="Body Text First Indent"/>
    <w:basedOn w:val="10"/>
    <w:next w:val="1"/>
    <w:qFormat/>
    <w:uiPriority w:val="0"/>
    <w:pPr>
      <w:adjustRightInd w:val="0"/>
      <w:snapToGrid w:val="0"/>
      <w:spacing w:after="0" w:line="360" w:lineRule="auto"/>
      <w:ind w:firstLine="200"/>
      <w:jc w:val="both"/>
    </w:pPr>
    <w:rPr>
      <w:kern w:val="2"/>
      <w:sz w:val="24"/>
    </w:rPr>
  </w:style>
  <w:style w:type="paragraph" w:customStyle="1" w:styleId="17">
    <w:name w:val="Date1"/>
    <w:basedOn w:val="1"/>
    <w:next w:val="1"/>
    <w:qFormat/>
    <w:uiPriority w:val="0"/>
    <w:pPr>
      <w:adjustRightInd w:val="0"/>
      <w:jc w:val="left"/>
      <w:textAlignment w:val="baseline"/>
    </w:pPr>
    <w:rPr>
      <w:rFonts w:ascii="宋体" w:hAnsi="宋体"/>
      <w:sz w:val="28"/>
      <w:szCs w:val="20"/>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1465</Words>
  <Characters>1569</Characters>
  <Lines>7</Lines>
  <Paragraphs>2</Paragraphs>
  <TotalTime>3</TotalTime>
  <ScaleCrop>false</ScaleCrop>
  <LinksUpToDate>false</LinksUpToDate>
  <CharactersWithSpaces>1571</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2020-07-12T13:16:00Z</dcterms:created>
  <dc:creator>Lenovo</dc:creator>
  <cp:lastModifiedBy>Administrator</cp:lastModifiedBy>
  <cp:lastPrinted>2022-05-12T03:43:39Z</cp:lastPrinted>
  <dcterms:modified xsi:type="dcterms:W3CDTF">2022-05-12T04:34:52Z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4225DB6250D2480DA716C7C05A97AA81</vt:lpwstr>
  </property>
</Properties>
</file>