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0"/>
          <w:szCs w:val="24"/>
        </w:rPr>
      </w:pPr>
    </w:p>
    <w:p>
      <w:pPr>
        <w:spacing w:line="360" w:lineRule="auto"/>
        <w:jc w:val="center"/>
        <w:rPr>
          <w:sz w:val="30"/>
          <w:szCs w:val="24"/>
        </w:rPr>
      </w:pPr>
    </w:p>
    <w:p>
      <w:pPr>
        <w:spacing w:line="360" w:lineRule="auto"/>
        <w:jc w:val="center"/>
        <w:rPr>
          <w:sz w:val="30"/>
          <w:szCs w:val="24"/>
        </w:rPr>
      </w:pPr>
    </w:p>
    <w:p>
      <w:pPr>
        <w:jc w:val="right"/>
        <w:rPr>
          <w:rFonts w:ascii="仿宋" w:hAnsi="仿宋" w:eastAsia="仿宋" w:cs="仿宋"/>
          <w:sz w:val="30"/>
          <w:szCs w:val="30"/>
        </w:rPr>
      </w:pPr>
    </w:p>
    <w:p>
      <w:pPr>
        <w:jc w:val="right"/>
        <w:rPr>
          <w:rFonts w:ascii="仿宋" w:hAnsi="仿宋" w:eastAsia="仿宋" w:cs="仿宋"/>
          <w:sz w:val="30"/>
          <w:szCs w:val="30"/>
        </w:rPr>
      </w:pPr>
      <w:r>
        <w:rPr>
          <w:rFonts w:hint="eastAsia" w:ascii="仿宋" w:hAnsi="仿宋" w:eastAsia="仿宋" w:cs="仿宋"/>
          <w:sz w:val="30"/>
          <w:szCs w:val="30"/>
        </w:rPr>
        <w:t>岳君环评〔202</w:t>
      </w:r>
      <w:r>
        <w:rPr>
          <w:rFonts w:hint="eastAsia" w:ascii="仿宋" w:hAnsi="仿宋" w:eastAsia="仿宋" w:cs="仿宋"/>
          <w:sz w:val="30"/>
          <w:szCs w:val="30"/>
          <w:lang w:val="en-US" w:eastAsia="zh-CN"/>
        </w:rPr>
        <w:t>2</w:t>
      </w:r>
      <w:r>
        <w:rPr>
          <w:rFonts w:hint="eastAsia" w:ascii="仿宋" w:hAnsi="仿宋" w:eastAsia="仿宋" w:cs="仿宋"/>
          <w:sz w:val="30"/>
          <w:szCs w:val="30"/>
        </w:rPr>
        <w:t>〕</w:t>
      </w:r>
      <w:r>
        <w:rPr>
          <w:rFonts w:hint="eastAsia" w:ascii="仿宋" w:hAnsi="仿宋" w:eastAsia="仿宋" w:cs="仿宋"/>
          <w:sz w:val="30"/>
          <w:szCs w:val="30"/>
          <w:lang w:val="en-US" w:eastAsia="zh-CN"/>
        </w:rPr>
        <w:t>7</w:t>
      </w:r>
      <w:r>
        <w:rPr>
          <w:rFonts w:hint="eastAsia" w:ascii="仿宋" w:hAnsi="仿宋" w:eastAsia="仿宋" w:cs="仿宋"/>
          <w:sz w:val="30"/>
          <w:szCs w:val="30"/>
        </w:rPr>
        <w:t>号</w:t>
      </w:r>
    </w:p>
    <w:p>
      <w:pPr>
        <w:spacing w:line="360" w:lineRule="auto"/>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关于钱粮湖镇六门闸社区风干鱼加工基地项目（3400t/a）环境影响报告表的审批意见</w:t>
      </w:r>
    </w:p>
    <w:p>
      <w:pPr>
        <w:spacing w:line="360" w:lineRule="auto"/>
        <w:rPr>
          <w:sz w:val="24"/>
          <w:szCs w:val="24"/>
        </w:rPr>
      </w:pPr>
    </w:p>
    <w:p>
      <w:pPr>
        <w:rPr>
          <w:rFonts w:ascii="仿宋" w:hAnsi="仿宋" w:eastAsia="仿宋" w:cs="仿宋"/>
          <w:sz w:val="30"/>
          <w:szCs w:val="30"/>
        </w:rPr>
      </w:pPr>
      <w:r>
        <w:rPr>
          <w:rFonts w:hint="eastAsia" w:ascii="仿宋" w:hAnsi="仿宋" w:eastAsia="仿宋" w:cs="仿宋"/>
          <w:sz w:val="30"/>
          <w:szCs w:val="30"/>
        </w:rPr>
        <w:t>岳阳市君山区钱粮湖镇众鑫现代农业综合开发有限公司：</w:t>
      </w:r>
    </w:p>
    <w:p>
      <w:pPr>
        <w:ind w:firstLine="600" w:firstLineChars="200"/>
        <w:rPr>
          <w:rFonts w:ascii="仿宋" w:hAnsi="仿宋" w:eastAsia="仿宋" w:cs="仿宋"/>
          <w:sz w:val="30"/>
          <w:szCs w:val="30"/>
        </w:rPr>
      </w:pPr>
      <w:r>
        <w:rPr>
          <w:rFonts w:hint="eastAsia" w:ascii="仿宋" w:hAnsi="仿宋" w:eastAsia="仿宋" w:cs="仿宋"/>
          <w:sz w:val="30"/>
          <w:szCs w:val="30"/>
        </w:rPr>
        <w:t>你公司报送的《钱粮湖镇六门闸社区风干鱼加工基地项目（3400t/a）环境影响报告表》已收悉。我局按照建设项目管理有关规定对该项目进行审查，经研究，批复如下：</w:t>
      </w:r>
    </w:p>
    <w:p>
      <w:pPr>
        <w:ind w:firstLine="600" w:firstLineChars="200"/>
        <w:rPr>
          <w:rFonts w:ascii="仿宋" w:hAnsi="仿宋" w:eastAsia="仿宋" w:cs="仿宋"/>
          <w:sz w:val="30"/>
          <w:szCs w:val="30"/>
        </w:rPr>
      </w:pPr>
      <w:r>
        <w:rPr>
          <w:rFonts w:hint="eastAsia" w:ascii="仿宋" w:hAnsi="仿宋" w:eastAsia="仿宋" w:cs="仿宋"/>
          <w:sz w:val="30"/>
          <w:szCs w:val="30"/>
        </w:rPr>
        <w:t>岳阳市君山区钱粮湖镇众鑫现代农业综合开发有限公司拟</w:t>
      </w:r>
      <w:r>
        <w:rPr>
          <w:rFonts w:hint="eastAsia" w:ascii="仿宋" w:hAnsi="仿宋" w:eastAsia="仿宋" w:cs="仿宋"/>
          <w:sz w:val="30"/>
          <w:szCs w:val="30"/>
          <w:lang w:eastAsia="zh-CN"/>
        </w:rPr>
        <w:t>在君山区钱粮湖镇六门闸社区</w:t>
      </w:r>
      <w:r>
        <w:rPr>
          <w:rFonts w:hint="eastAsia" w:ascii="仿宋" w:hAnsi="仿宋" w:eastAsia="仿宋" w:cs="仿宋"/>
          <w:sz w:val="30"/>
          <w:szCs w:val="30"/>
        </w:rPr>
        <w:t>新建</w:t>
      </w:r>
      <w:r>
        <w:rPr>
          <w:rFonts w:hint="eastAsia" w:ascii="仿宋" w:hAnsi="仿宋" w:eastAsia="仿宋" w:cs="仿宋"/>
          <w:sz w:val="30"/>
          <w:szCs w:val="30"/>
          <w:lang w:val="en-US" w:eastAsia="zh-CN"/>
        </w:rPr>
        <w:t>3400吨/年的</w:t>
      </w:r>
      <w:r>
        <w:rPr>
          <w:rFonts w:hint="eastAsia" w:ascii="仿宋" w:hAnsi="仿宋" w:eastAsia="仿宋" w:cs="仿宋"/>
          <w:sz w:val="30"/>
          <w:szCs w:val="30"/>
        </w:rPr>
        <w:t>风干鱼加工基地项目。项目</w:t>
      </w:r>
      <w:r>
        <w:rPr>
          <w:rFonts w:hint="eastAsia" w:ascii="仿宋" w:hAnsi="仿宋" w:eastAsia="仿宋" w:cs="仿宋"/>
          <w:sz w:val="30"/>
          <w:szCs w:val="30"/>
          <w:lang w:val="en-US" w:eastAsia="zh-CN"/>
        </w:rPr>
        <w:t>用地</w:t>
      </w:r>
      <w:r>
        <w:rPr>
          <w:rFonts w:hint="eastAsia" w:ascii="仿宋" w:hAnsi="仿宋" w:eastAsia="仿宋" w:cs="仿宋"/>
          <w:sz w:val="30"/>
          <w:szCs w:val="30"/>
          <w:lang w:eastAsia="zh-CN"/>
        </w:rPr>
        <w:t>总</w:t>
      </w:r>
      <w:r>
        <w:rPr>
          <w:rFonts w:hint="eastAsia" w:ascii="仿宋" w:hAnsi="仿宋" w:eastAsia="仿宋" w:cs="仿宋"/>
          <w:sz w:val="30"/>
          <w:szCs w:val="30"/>
        </w:rPr>
        <w:t>面积14831.77m</w:t>
      </w:r>
      <w:r>
        <w:rPr>
          <w:rFonts w:hint="eastAsia" w:ascii="仿宋" w:hAnsi="仿宋" w:eastAsia="仿宋" w:cs="仿宋"/>
          <w:sz w:val="30"/>
          <w:szCs w:val="30"/>
          <w:vertAlign w:val="superscript"/>
        </w:rPr>
        <w:t>2</w:t>
      </w:r>
      <w:r>
        <w:rPr>
          <w:rFonts w:hint="eastAsia" w:ascii="仿宋" w:hAnsi="仿宋" w:eastAsia="仿宋" w:cs="仿宋"/>
          <w:sz w:val="30"/>
          <w:szCs w:val="30"/>
        </w:rPr>
        <w:t>，总投资</w:t>
      </w:r>
      <w:r>
        <w:rPr>
          <w:rFonts w:hint="eastAsia" w:ascii="仿宋" w:hAnsi="仿宋" w:eastAsia="仿宋" w:cs="仿宋"/>
          <w:sz w:val="30"/>
          <w:szCs w:val="30"/>
          <w:lang w:val="en-US" w:eastAsia="zh-CN"/>
        </w:rPr>
        <w:t>2400</w:t>
      </w:r>
      <w:r>
        <w:rPr>
          <w:rFonts w:hint="eastAsia" w:ascii="仿宋" w:hAnsi="仿宋" w:eastAsia="仿宋" w:cs="仿宋"/>
          <w:sz w:val="30"/>
          <w:szCs w:val="30"/>
        </w:rPr>
        <w:t>万元，其中环保投资</w:t>
      </w:r>
      <w:r>
        <w:rPr>
          <w:rFonts w:hint="eastAsia" w:ascii="仿宋" w:hAnsi="仿宋" w:eastAsia="仿宋" w:cs="仿宋"/>
          <w:sz w:val="30"/>
          <w:szCs w:val="30"/>
          <w:lang w:val="en-US" w:eastAsia="zh-CN"/>
        </w:rPr>
        <w:t>220</w:t>
      </w:r>
      <w:r>
        <w:rPr>
          <w:rFonts w:hint="eastAsia" w:ascii="仿宋" w:hAnsi="仿宋" w:eastAsia="仿宋" w:cs="仿宋"/>
          <w:sz w:val="30"/>
          <w:szCs w:val="30"/>
        </w:rPr>
        <w:t>万元。项目</w:t>
      </w:r>
      <w:r>
        <w:rPr>
          <w:rFonts w:hint="eastAsia" w:ascii="仿宋" w:hAnsi="仿宋" w:eastAsia="仿宋" w:cs="仿宋"/>
          <w:sz w:val="30"/>
          <w:szCs w:val="30"/>
          <w:lang w:val="en-US" w:eastAsia="zh-CN"/>
        </w:rPr>
        <w:t>建设有两栋两层框架结构生产车间及其他配套设施，项目内容</w:t>
      </w:r>
      <w:r>
        <w:rPr>
          <w:rFonts w:hint="eastAsia" w:ascii="仿宋" w:hAnsi="仿宋" w:eastAsia="仿宋" w:cs="仿宋"/>
          <w:sz w:val="30"/>
          <w:szCs w:val="30"/>
        </w:rPr>
        <w:t>主要为</w:t>
      </w:r>
      <w:r>
        <w:rPr>
          <w:rFonts w:hint="eastAsia" w:ascii="仿宋" w:hAnsi="仿宋" w:eastAsia="仿宋" w:cs="仿宋"/>
          <w:sz w:val="30"/>
          <w:szCs w:val="30"/>
          <w:lang w:val="en-US" w:eastAsia="zh-CN"/>
        </w:rPr>
        <w:t>市场采购鲜鱼后进行宰杀、清洗、腌制后等工序后自然风干，成品风干鱼采用R-507制冷剂储藏</w:t>
      </w:r>
      <w:r>
        <w:rPr>
          <w:rFonts w:hint="eastAsia" w:ascii="仿宋" w:hAnsi="仿宋" w:eastAsia="仿宋" w:cs="仿宋"/>
          <w:sz w:val="30"/>
          <w:szCs w:val="30"/>
        </w:rPr>
        <w:t>。根据湖南霖昇工程技术咨询有限公司编制的《钱粮湖镇六门闸社区风干鱼加工基地项目（3400t/a）环境影响报告表》基本内容、结论、专家评审意见，综合考虑，我局原则同意你公司环境影响报告表中所列建设项目的性质、规模、工艺、地点和环境保护对策措施。</w:t>
      </w:r>
    </w:p>
    <w:p>
      <w:pPr>
        <w:ind w:firstLine="600" w:firstLineChars="200"/>
        <w:rPr>
          <w:rFonts w:ascii="仿宋" w:hAnsi="仿宋" w:eastAsia="仿宋" w:cs="仿宋"/>
          <w:sz w:val="30"/>
          <w:szCs w:val="30"/>
        </w:rPr>
      </w:pPr>
      <w:r>
        <w:rPr>
          <w:rFonts w:hint="eastAsia" w:ascii="仿宋" w:hAnsi="仿宋" w:eastAsia="仿宋" w:cs="仿宋"/>
          <w:sz w:val="30"/>
          <w:szCs w:val="30"/>
        </w:rPr>
        <w:t>一、认真落实专家及环境影响报告表中提出的各项污染防治措施，并应着重注意以下问题：</w:t>
      </w:r>
    </w:p>
    <w:p>
      <w:pPr>
        <w:ind w:firstLine="600" w:firstLineChars="200"/>
        <w:rPr>
          <w:rFonts w:ascii="仿宋" w:hAnsi="仿宋" w:eastAsia="仿宋" w:cs="仿宋"/>
          <w:sz w:val="30"/>
          <w:szCs w:val="30"/>
        </w:rPr>
      </w:pPr>
      <w:bookmarkStart w:id="0" w:name="OLE_LINK5"/>
      <w:r>
        <w:rPr>
          <w:rFonts w:hint="eastAsia" w:ascii="仿宋" w:hAnsi="仿宋" w:eastAsia="仿宋" w:cs="仿宋"/>
          <w:sz w:val="30"/>
          <w:szCs w:val="30"/>
        </w:rPr>
        <w:t>（一）</w:t>
      </w:r>
      <w:bookmarkEnd w:id="0"/>
      <w:bookmarkStart w:id="1" w:name="OLE_LINK1"/>
      <w:r>
        <w:rPr>
          <w:rFonts w:hint="eastAsia" w:ascii="仿宋" w:hAnsi="仿宋" w:eastAsia="仿宋" w:cs="仿宋"/>
          <w:sz w:val="30"/>
          <w:szCs w:val="30"/>
        </w:rPr>
        <w:t>切实做好施工期环境保护工作。落实环境影响评价文件提出的各项施工期污防措施，尽量缩短施工期，合理布局施工机械，对施工场地采取围挡、加盖篷布、洒水降尘等抑尘措施，禁止在大风天作业，渣土物料运输采用密闭或其他遮覆方式，有效减轻施工及运输的扬尘污染影响；选用低噪声施工设备，合理安排施工时间，减少噪声对周边环境的影响；施工期废水经沉淀后回用，生活污水</w:t>
      </w:r>
      <w:r>
        <w:rPr>
          <w:rFonts w:hint="eastAsia" w:ascii="仿宋" w:hAnsi="仿宋" w:eastAsia="仿宋" w:cs="仿宋"/>
          <w:sz w:val="30"/>
          <w:szCs w:val="30"/>
          <w:lang w:val="en-US" w:eastAsia="zh-CN"/>
        </w:rPr>
        <w:t>依托周边居民生活污水处理设施处理</w:t>
      </w:r>
      <w:r>
        <w:rPr>
          <w:rFonts w:hint="eastAsia" w:ascii="仿宋" w:hAnsi="仿宋" w:eastAsia="仿宋" w:cs="仿宋"/>
          <w:sz w:val="30"/>
          <w:szCs w:val="30"/>
        </w:rPr>
        <w:t>；施工期固废综合利用，生活垃圾定点收集，由环卫部门统一收集处理。</w:t>
      </w:r>
    </w:p>
    <w:p>
      <w:pPr>
        <w:ind w:firstLine="600" w:firstLineChars="200"/>
        <w:rPr>
          <w:rFonts w:ascii="仿宋" w:hAnsi="仿宋" w:eastAsia="仿宋" w:cs="仿宋"/>
          <w:sz w:val="30"/>
          <w:szCs w:val="30"/>
        </w:rPr>
      </w:pPr>
      <w:r>
        <w:rPr>
          <w:rFonts w:hint="eastAsia" w:ascii="仿宋" w:hAnsi="仿宋" w:eastAsia="仿宋" w:cs="仿宋"/>
          <w:sz w:val="30"/>
          <w:szCs w:val="30"/>
        </w:rPr>
        <w:t>（二）废水污染防治。项目实行雨、污分流，</w:t>
      </w:r>
      <w:r>
        <w:rPr>
          <w:rFonts w:hint="eastAsia" w:ascii="仿宋" w:hAnsi="仿宋" w:eastAsia="仿宋" w:cs="仿宋"/>
          <w:sz w:val="30"/>
          <w:szCs w:val="30"/>
          <w:lang w:val="en-US" w:eastAsia="zh-CN"/>
        </w:rPr>
        <w:t>生活污水、生产废水经隔油沉淀池+化粪池处理满足钱粮湖镇污水处理厂接纳标准后经自建污水管网排入</w:t>
      </w:r>
      <w:r>
        <w:rPr>
          <w:rFonts w:hint="eastAsia" w:ascii="仿宋" w:hAnsi="仿宋" w:eastAsia="仿宋" w:cs="仿宋"/>
          <w:color w:val="auto"/>
          <w:sz w:val="30"/>
          <w:szCs w:val="30"/>
          <w:lang w:val="en-US" w:eastAsia="zh-CN"/>
        </w:rPr>
        <w:t>钱粮湖镇污水处理厂</w:t>
      </w:r>
      <w:r>
        <w:rPr>
          <w:rFonts w:hint="eastAsia" w:ascii="仿宋" w:hAnsi="仿宋" w:eastAsia="仿宋" w:cs="仿宋"/>
          <w:sz w:val="30"/>
          <w:szCs w:val="30"/>
          <w:lang w:val="en-US" w:eastAsia="zh-CN"/>
        </w:rPr>
        <w:t>进行处理，污水管网未铺设完成、废水未能接入钱粮湖镇污水处理厂前该项目不得投运。</w:t>
      </w:r>
    </w:p>
    <w:p>
      <w:pPr>
        <w:ind w:firstLine="600" w:firstLineChars="200"/>
        <w:rPr>
          <w:rFonts w:ascii="仿宋" w:hAnsi="仿宋" w:eastAsia="仿宋" w:cs="仿宋"/>
          <w:sz w:val="30"/>
          <w:szCs w:val="30"/>
        </w:rPr>
      </w:pPr>
      <w:r>
        <w:rPr>
          <w:rFonts w:hint="eastAsia" w:ascii="仿宋" w:hAnsi="仿宋" w:eastAsia="仿宋" w:cs="仿宋"/>
          <w:sz w:val="30"/>
          <w:szCs w:val="30"/>
        </w:rPr>
        <w:t>（三）大气污染防治。</w:t>
      </w:r>
      <w:r>
        <w:rPr>
          <w:rFonts w:hint="eastAsia" w:ascii="仿宋" w:hAnsi="仿宋" w:eastAsia="仿宋" w:cs="仿宋"/>
          <w:sz w:val="30"/>
          <w:szCs w:val="30"/>
          <w:lang w:val="en-US" w:eastAsia="zh-CN"/>
        </w:rPr>
        <w:t>合理平面布局，加强车间通风，加强厂区绿化，下脚料做到日产日清，采取有效防止措施减少污水处理设施的恶臭影响，确保恶臭污染物厂界标准符合《恶臭污染物排放标准》（GB14554-93</w:t>
      </w:r>
      <w:r>
        <w:rPr>
          <w:rFonts w:hint="eastAsia" w:ascii="仿宋" w:hAnsi="仿宋" w:eastAsia="仿宋" w:cs="仿宋"/>
          <w:color w:val="auto"/>
          <w:sz w:val="30"/>
          <w:szCs w:val="30"/>
          <w:lang w:val="en-US" w:eastAsia="zh-CN"/>
        </w:rPr>
        <w:t>）二级标准（臭气浓度≤20）</w:t>
      </w:r>
      <w:r>
        <w:rPr>
          <w:rFonts w:hint="eastAsia" w:ascii="仿宋" w:hAnsi="仿宋" w:eastAsia="仿宋" w:cs="仿宋"/>
          <w:color w:val="auto"/>
          <w:sz w:val="30"/>
          <w:szCs w:val="30"/>
        </w:rPr>
        <w:t>。</w:t>
      </w:r>
      <w:r>
        <w:rPr>
          <w:rFonts w:hint="eastAsia" w:ascii="仿宋" w:hAnsi="仿宋" w:eastAsia="仿宋" w:cs="仿宋"/>
          <w:sz w:val="30"/>
          <w:szCs w:val="30"/>
          <w:lang w:val="en-US" w:eastAsia="zh-CN"/>
        </w:rPr>
        <w:t>食堂油烟废气经油烟净化处理设施处理满足《饮食业油烟排放标准》（GB 18483-2001）的要求后，通过专用烟道排放。</w:t>
      </w:r>
    </w:p>
    <w:p>
      <w:pPr>
        <w:ind w:firstLine="600" w:firstLineChars="200"/>
        <w:rPr>
          <w:rFonts w:ascii="仿宋" w:hAnsi="仿宋" w:eastAsia="仿宋" w:cs="仿宋"/>
          <w:sz w:val="30"/>
          <w:szCs w:val="30"/>
        </w:rPr>
      </w:pPr>
      <w:r>
        <w:rPr>
          <w:rFonts w:hint="eastAsia" w:ascii="仿宋" w:hAnsi="仿宋" w:eastAsia="仿宋" w:cs="仿宋"/>
          <w:sz w:val="30"/>
          <w:szCs w:val="30"/>
        </w:rPr>
        <w:t>（四）噪声污染防治。选用低噪声设备、合理平面布局，确保厂界噪声达到《工业企业厂界环境噪声排放标准》（GB 12348-2008</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类标准</w:t>
      </w:r>
      <w:r>
        <w:rPr>
          <w:rFonts w:hint="eastAsia" w:ascii="仿宋" w:hAnsi="仿宋" w:eastAsia="仿宋" w:cs="仿宋"/>
          <w:sz w:val="30"/>
          <w:szCs w:val="30"/>
        </w:rPr>
        <w:t>要求。</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（五）固体废物污染防治。</w:t>
      </w:r>
      <w:r>
        <w:rPr>
          <w:rFonts w:hint="eastAsia" w:ascii="仿宋" w:hAnsi="仿宋" w:eastAsia="仿宋" w:cs="仿宋"/>
          <w:sz w:val="30"/>
          <w:szCs w:val="30"/>
          <w:lang w:val="en-US" w:eastAsia="zh-CN"/>
        </w:rPr>
        <w:t>原辅材料做到日产日清，</w:t>
      </w:r>
      <w:r>
        <w:rPr>
          <w:rFonts w:hint="eastAsia" w:ascii="仿宋" w:hAnsi="仿宋" w:eastAsia="仿宋" w:cs="仿宋"/>
          <w:sz w:val="30"/>
          <w:szCs w:val="30"/>
        </w:rPr>
        <w:t>认真落实一般固废分类收集、处置和综合利用措施；生活垃圾由环卫部门定期清运</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rPr>
        <w:t>加强环境管理，建立健全的污染防治设施运行管理</w:t>
      </w:r>
      <w:r>
        <w:rPr>
          <w:rFonts w:hint="eastAsia" w:ascii="仿宋" w:hAnsi="仿宋" w:eastAsia="仿宋" w:cs="仿宋"/>
          <w:sz w:val="30"/>
          <w:szCs w:val="30"/>
          <w:lang w:val="en-US" w:eastAsia="zh-CN"/>
        </w:rPr>
        <w:t>台账</w:t>
      </w:r>
      <w:r>
        <w:rPr>
          <w:rFonts w:hint="eastAsia" w:ascii="仿宋" w:hAnsi="仿宋" w:eastAsia="仿宋" w:cs="仿宋"/>
          <w:sz w:val="30"/>
          <w:szCs w:val="30"/>
        </w:rPr>
        <w:t>，设</w:t>
      </w:r>
      <w:r>
        <w:rPr>
          <w:rFonts w:hint="eastAsia" w:ascii="仿宋" w:hAnsi="仿宋" w:eastAsia="仿宋" w:cs="仿宋"/>
          <w:sz w:val="30"/>
          <w:szCs w:val="30"/>
          <w:lang w:val="en-US" w:eastAsia="zh-CN"/>
        </w:rPr>
        <w:t>立</w:t>
      </w:r>
      <w:r>
        <w:rPr>
          <w:rFonts w:hint="eastAsia" w:ascii="仿宋" w:hAnsi="仿宋" w:eastAsia="仿宋" w:cs="仿宋"/>
          <w:sz w:val="30"/>
          <w:szCs w:val="30"/>
        </w:rPr>
        <w:t>专门的环保机构，配备专人负责环保工作，确保各项污染防治设施正常运行，各类污染物稳定达标排放。</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w:t>
      </w:r>
      <w:r>
        <w:rPr>
          <w:rFonts w:hint="eastAsia" w:ascii="仿宋" w:hAnsi="仿宋" w:eastAsia="仿宋" w:cs="仿宋"/>
          <w:sz w:val="30"/>
          <w:szCs w:val="30"/>
        </w:rPr>
        <w:t>污染物总量控制指标：COD≤</w:t>
      </w:r>
      <w:r>
        <w:rPr>
          <w:rFonts w:hint="eastAsia" w:ascii="仿宋" w:hAnsi="仿宋" w:eastAsia="仿宋" w:cs="仿宋"/>
          <w:sz w:val="30"/>
          <w:szCs w:val="30"/>
          <w:lang w:val="en-US" w:eastAsia="zh-CN"/>
        </w:rPr>
        <w:t>1.5</w:t>
      </w:r>
      <w:r>
        <w:rPr>
          <w:rFonts w:hint="eastAsia" w:ascii="仿宋" w:hAnsi="仿宋" w:eastAsia="仿宋" w:cs="仿宋"/>
          <w:sz w:val="30"/>
          <w:szCs w:val="30"/>
        </w:rPr>
        <w:t>t/a、NH3-N≤0.</w:t>
      </w:r>
      <w:r>
        <w:rPr>
          <w:rFonts w:hint="eastAsia" w:ascii="仿宋" w:hAnsi="仿宋" w:eastAsia="仿宋" w:cs="仿宋"/>
          <w:sz w:val="30"/>
          <w:szCs w:val="30"/>
          <w:lang w:val="en-US" w:eastAsia="zh-CN"/>
        </w:rPr>
        <w:t>2</w:t>
      </w:r>
      <w:r>
        <w:rPr>
          <w:rFonts w:hint="eastAsia" w:ascii="仿宋" w:hAnsi="仿宋" w:eastAsia="仿宋" w:cs="仿宋"/>
          <w:sz w:val="30"/>
          <w:szCs w:val="30"/>
        </w:rPr>
        <w:t>t/</w:t>
      </w:r>
      <w:r>
        <w:rPr>
          <w:rFonts w:hint="eastAsia" w:ascii="仿宋" w:hAnsi="仿宋" w:eastAsia="仿宋" w:cs="仿宋"/>
          <w:sz w:val="30"/>
          <w:szCs w:val="30"/>
          <w:lang w:val="en-US" w:eastAsia="zh-CN"/>
        </w:rPr>
        <w:t>a</w:t>
      </w:r>
      <w:r>
        <w:rPr>
          <w:rFonts w:hint="eastAsia" w:ascii="仿宋" w:hAnsi="仿宋" w:eastAsia="仿宋" w:cs="仿宋"/>
          <w:sz w:val="30"/>
          <w:szCs w:val="30"/>
        </w:rPr>
        <w:t>。</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val="en-US" w:eastAsia="zh-CN"/>
        </w:rPr>
        <w:t>项目建设单位应当保证环境影响评价文件的真实、可靠、有效</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否则，我局将有权撤销该批复。</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你单位应在收到本批复后15个工作日内，将批复及该项目环评报批稿送至岳阳市君山区环境监察大</w:t>
      </w:r>
      <w:bookmarkStart w:id="2" w:name="_GoBack"/>
      <w:bookmarkEnd w:id="2"/>
      <w:r>
        <w:rPr>
          <w:rFonts w:hint="eastAsia" w:ascii="仿宋" w:hAnsi="仿宋" w:eastAsia="仿宋" w:cs="仿宋"/>
          <w:sz w:val="30"/>
          <w:szCs w:val="30"/>
        </w:rPr>
        <w:t>队、</w:t>
      </w:r>
      <w:r>
        <w:rPr>
          <w:rFonts w:hint="eastAsia" w:ascii="仿宋" w:hAnsi="仿宋" w:eastAsia="仿宋" w:cs="仿宋"/>
          <w:sz w:val="30"/>
          <w:szCs w:val="30"/>
          <w:lang w:val="en-US" w:eastAsia="zh-CN"/>
        </w:rPr>
        <w:t>湖南霖昇工程技术咨询有限公司</w:t>
      </w:r>
      <w:r>
        <w:rPr>
          <w:rFonts w:hint="eastAsia" w:ascii="仿宋" w:hAnsi="仿宋" w:eastAsia="仿宋" w:cs="仿宋"/>
          <w:sz w:val="30"/>
          <w:szCs w:val="30"/>
        </w:rPr>
        <w:t>。</w:t>
      </w:r>
    </w:p>
    <w:p>
      <w:pPr>
        <w:ind w:firstLine="600" w:firstLineChars="200"/>
        <w:rPr>
          <w:rFonts w:hint="eastAsia" w:ascii="仿宋" w:hAnsi="仿宋" w:eastAsia="仿宋" w:cs="_4eff_5b8b_GB2312"/>
          <w:bCs/>
          <w:color w:val="000000"/>
          <w:sz w:val="32"/>
          <w:szCs w:val="32"/>
        </w:rPr>
      </w:pPr>
      <w:r>
        <w:rPr>
          <w:rFonts w:hint="eastAsia" w:ascii="仿宋" w:hAnsi="仿宋" w:eastAsia="仿宋" w:cs="仿宋"/>
          <w:sz w:val="30"/>
          <w:szCs w:val="30"/>
          <w:lang w:val="en-US" w:eastAsia="zh-CN"/>
        </w:rPr>
        <w:t>四</w:t>
      </w:r>
      <w:r>
        <w:rPr>
          <w:rFonts w:hint="eastAsia" w:ascii="仿宋" w:hAnsi="仿宋" w:eastAsia="仿宋" w:cs="仿宋"/>
          <w:sz w:val="30"/>
          <w:szCs w:val="30"/>
        </w:rPr>
        <w:t>、岳阳市君山区环境监察大队负责项</w:t>
      </w:r>
      <w:r>
        <w:rPr>
          <w:rFonts w:hint="eastAsia" w:ascii="仿宋" w:hAnsi="仿宋" w:eastAsia="仿宋" w:cs="仿宋"/>
          <w:color w:val="auto"/>
          <w:sz w:val="30"/>
          <w:szCs w:val="30"/>
        </w:rPr>
        <w:t>目建设期</w:t>
      </w:r>
      <w:r>
        <w:rPr>
          <w:rFonts w:hint="eastAsia" w:ascii="仿宋" w:hAnsi="仿宋" w:eastAsia="仿宋" w:cs="仿宋"/>
          <w:color w:val="auto"/>
          <w:sz w:val="30"/>
          <w:szCs w:val="30"/>
          <w:lang w:val="en-US" w:eastAsia="zh-CN"/>
        </w:rPr>
        <w:t>和运营期</w:t>
      </w:r>
      <w:r>
        <w:rPr>
          <w:rFonts w:hint="eastAsia" w:ascii="仿宋" w:hAnsi="仿宋" w:eastAsia="仿宋" w:cs="仿宋"/>
          <w:color w:val="auto"/>
          <w:sz w:val="30"/>
          <w:szCs w:val="30"/>
        </w:rPr>
        <w:t>的</w:t>
      </w:r>
      <w:r>
        <w:rPr>
          <w:rFonts w:hint="eastAsia" w:ascii="仿宋" w:hAnsi="仿宋" w:eastAsia="仿宋" w:cs="仿宋"/>
          <w:sz w:val="30"/>
          <w:szCs w:val="30"/>
        </w:rPr>
        <w:t>日常环境监管。</w:t>
      </w:r>
      <w:bookmarkEnd w:id="1"/>
    </w:p>
    <w:p>
      <w:pPr>
        <w:spacing w:line="520" w:lineRule="exact"/>
        <w:ind w:firstLine="4480" w:firstLineChars="1400"/>
        <w:rPr>
          <w:rFonts w:hint="eastAsia" w:ascii="仿宋" w:hAnsi="仿宋" w:eastAsia="仿宋" w:cs="_4eff_5b8b_GB2312"/>
          <w:bCs/>
          <w:color w:val="000000"/>
          <w:sz w:val="32"/>
          <w:szCs w:val="32"/>
        </w:rPr>
      </w:pPr>
    </w:p>
    <w:p>
      <w:pPr>
        <w:pStyle w:val="2"/>
        <w:rPr>
          <w:rFonts w:hint="eastAsia"/>
        </w:rPr>
      </w:pPr>
    </w:p>
    <w:p>
      <w:pPr>
        <w:spacing w:line="520" w:lineRule="exact"/>
        <w:ind w:firstLine="4480" w:firstLineChars="1400"/>
        <w:rPr>
          <w:rFonts w:ascii="仿宋" w:hAnsi="仿宋" w:eastAsia="仿宋" w:cs="_4eff_5b8b_GB2312"/>
          <w:bCs/>
          <w:color w:val="000000"/>
          <w:sz w:val="32"/>
          <w:szCs w:val="32"/>
        </w:rPr>
      </w:pPr>
      <w:r>
        <w:rPr>
          <w:rFonts w:hint="eastAsia" w:ascii="仿宋" w:hAnsi="仿宋" w:eastAsia="仿宋" w:cs="_4eff_5b8b_GB2312"/>
          <w:bCs/>
          <w:color w:val="000000"/>
          <w:sz w:val="32"/>
          <w:szCs w:val="32"/>
        </w:rPr>
        <w:t>岳阳市生态环境局</w:t>
      </w:r>
    </w:p>
    <w:p>
      <w:pPr>
        <w:spacing w:line="520" w:lineRule="exact"/>
        <w:ind w:firstLine="4480" w:firstLineChars="1400"/>
        <w:rPr>
          <w:rFonts w:ascii="仿宋" w:hAnsi="仿宋" w:eastAsia="仿宋" w:cs="仿宋"/>
          <w:sz w:val="30"/>
          <w:szCs w:val="30"/>
        </w:rPr>
      </w:pPr>
      <w:r>
        <w:rPr>
          <w:rFonts w:hint="eastAsia" w:ascii="仿宋" w:hAnsi="仿宋" w:eastAsia="仿宋" w:cs="_4eff_5b8b_GB2312"/>
          <w:bCs/>
          <w:color w:val="000000"/>
          <w:sz w:val="32"/>
          <w:szCs w:val="32"/>
        </w:rPr>
        <w:t>202</w:t>
      </w:r>
      <w:r>
        <w:rPr>
          <w:rFonts w:hint="eastAsia" w:ascii="仿宋" w:hAnsi="仿宋" w:eastAsia="仿宋" w:cs="_4eff_5b8b_GB2312"/>
          <w:bCs/>
          <w:color w:val="000000"/>
          <w:sz w:val="32"/>
          <w:szCs w:val="32"/>
          <w:lang w:val="en-US" w:eastAsia="zh-CN"/>
        </w:rPr>
        <w:t>2</w:t>
      </w:r>
      <w:r>
        <w:rPr>
          <w:rFonts w:hint="eastAsia" w:ascii="仿宋" w:hAnsi="仿宋" w:eastAsia="仿宋" w:cs="_4eff_5b8b_GB2312"/>
          <w:bCs/>
          <w:color w:val="000000"/>
          <w:sz w:val="32"/>
          <w:szCs w:val="32"/>
        </w:rPr>
        <w:t>年</w:t>
      </w:r>
      <w:r>
        <w:rPr>
          <w:rFonts w:hint="eastAsia" w:ascii="仿宋" w:hAnsi="仿宋" w:eastAsia="仿宋" w:cs="_4eff_5b8b_GB2312"/>
          <w:bCs/>
          <w:color w:val="000000"/>
          <w:sz w:val="32"/>
          <w:szCs w:val="32"/>
          <w:lang w:val="en-US" w:eastAsia="zh-CN"/>
        </w:rPr>
        <w:t>8</w:t>
      </w:r>
      <w:r>
        <w:rPr>
          <w:rFonts w:hint="eastAsia" w:ascii="仿宋" w:hAnsi="仿宋" w:eastAsia="仿宋" w:cs="_4eff_5b8b_GB2312"/>
          <w:bCs/>
          <w:color w:val="000000"/>
          <w:sz w:val="32"/>
          <w:szCs w:val="32"/>
        </w:rPr>
        <w:t>月</w:t>
      </w:r>
      <w:r>
        <w:rPr>
          <w:rFonts w:hint="eastAsia" w:ascii="仿宋" w:hAnsi="仿宋" w:eastAsia="仿宋" w:cs="_4eff_5b8b_GB2312"/>
          <w:bCs/>
          <w:color w:val="000000"/>
          <w:sz w:val="32"/>
          <w:szCs w:val="32"/>
          <w:lang w:val="en-US" w:eastAsia="zh-CN"/>
        </w:rPr>
        <w:t>1</w:t>
      </w:r>
      <w:r>
        <w:rPr>
          <w:rFonts w:hint="eastAsia" w:ascii="仿宋" w:hAnsi="仿宋" w:eastAsia="仿宋" w:cs="_4eff_5b8b_GB2312"/>
          <w:bCs/>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4eff_5b8b_GB2312">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5"/>
      <w:lvlText w:val="%3."/>
      <w:lvlJc w:val="right"/>
      <w:pPr>
        <w:tabs>
          <w:tab w:val="left" w:pos="1260"/>
        </w:tabs>
        <w:ind w:left="1260" w:hanging="420"/>
      </w:pPr>
    </w:lvl>
    <w:lvl w:ilvl="3" w:tentative="0">
      <w:start w:val="1"/>
      <w:numFmt w:val="decimal"/>
      <w:pStyle w:val="4"/>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D851E95"/>
    <w:multiLevelType w:val="multilevel"/>
    <w:tmpl w:val="1D851E95"/>
    <w:lvl w:ilvl="0" w:tentative="0">
      <w:start w:val="1"/>
      <w:numFmt w:val="japaneseCounting"/>
      <w:lvlText w:val="%1、"/>
      <w:lvlJc w:val="left"/>
      <w:pPr>
        <w:tabs>
          <w:tab w:val="left" w:pos="585"/>
        </w:tabs>
        <w:ind w:left="585" w:hanging="480"/>
      </w:pPr>
      <w:rPr>
        <w:rFonts w:hint="default"/>
      </w:rPr>
    </w:lvl>
    <w:lvl w:ilvl="1" w:tentative="0">
      <w:start w:val="1"/>
      <w:numFmt w:val="lowerLetter"/>
      <w:pStyle w:val="6"/>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ODdjODZkZjFhODRiY2M0ZDk3MjE5NjdkMmQxYjUifQ=="/>
  </w:docVars>
  <w:rsids>
    <w:rsidRoot w:val="04C6627A"/>
    <w:rsid w:val="0049144E"/>
    <w:rsid w:val="004D382B"/>
    <w:rsid w:val="0082775E"/>
    <w:rsid w:val="00A92163"/>
    <w:rsid w:val="00DC5F66"/>
    <w:rsid w:val="00F767C8"/>
    <w:rsid w:val="04C6627A"/>
    <w:rsid w:val="0A686B0F"/>
    <w:rsid w:val="0CA723DA"/>
    <w:rsid w:val="153174E5"/>
    <w:rsid w:val="16945542"/>
    <w:rsid w:val="26B3510E"/>
    <w:rsid w:val="270F17DF"/>
    <w:rsid w:val="272D624B"/>
    <w:rsid w:val="30F961DB"/>
    <w:rsid w:val="32DD7D9A"/>
    <w:rsid w:val="35992759"/>
    <w:rsid w:val="3C6D3674"/>
    <w:rsid w:val="44B46B17"/>
    <w:rsid w:val="4F4937EC"/>
    <w:rsid w:val="557430F7"/>
    <w:rsid w:val="57B60B1F"/>
    <w:rsid w:val="58250F70"/>
    <w:rsid w:val="60410761"/>
    <w:rsid w:val="689325A8"/>
    <w:rsid w:val="6A2A4E03"/>
    <w:rsid w:val="6B4B64F8"/>
    <w:rsid w:val="6CE90D53"/>
    <w:rsid w:val="6F7B7BBA"/>
    <w:rsid w:val="7C8503AD"/>
    <w:rsid w:val="7D99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2"/>
    <w:basedOn w:val="1"/>
    <w:next w:val="1"/>
    <w:unhideWhenUsed/>
    <w:qFormat/>
    <w:uiPriority w:val="9"/>
    <w:pPr>
      <w:pBdr>
        <w:bottom w:val="single" w:color="5B9BD5" w:themeColor="accent1" w:sz="8" w:space="1"/>
      </w:pBdr>
      <w:spacing w:before="200" w:after="80"/>
      <w:outlineLvl w:val="1"/>
    </w:pPr>
    <w:rPr>
      <w:rFonts w:asciiTheme="majorHAnsi" w:hAnsiTheme="majorHAnsi" w:eastAsiaTheme="majorEastAsia" w:cstheme="majorBidi"/>
      <w:color w:val="2E75B6" w:themeColor="accent1" w:themeShade="BF"/>
      <w:sz w:val="24"/>
      <w:szCs w:val="24"/>
    </w:rPr>
  </w:style>
  <w:style w:type="paragraph" w:styleId="9">
    <w:name w:val="heading 3"/>
    <w:basedOn w:val="8"/>
    <w:next w:val="1"/>
    <w:unhideWhenUsed/>
    <w:qFormat/>
    <w:uiPriority w:val="9"/>
    <w:pPr>
      <w:pBdr>
        <w:bottom w:val="single" w:color="9CC2E5" w:themeColor="accent1" w:themeTint="99" w:sz="4" w:space="1"/>
      </w:pBdr>
      <w:outlineLvl w:val="2"/>
    </w:pPr>
    <w:rPr>
      <w:color w:val="5B9BD5" w:themeColor="accent1"/>
      <w14:textFill>
        <w14:solidFill>
          <w14:schemeClr w14:val="accent1"/>
        </w14:solidFill>
      </w14:textFill>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四级条标题"/>
    <w:basedOn w:val="3"/>
    <w:next w:val="7"/>
    <w:qFormat/>
    <w:uiPriority w:val="0"/>
    <w:pPr>
      <w:widowControl/>
      <w:numPr>
        <w:ilvl w:val="3"/>
        <w:numId w:val="0"/>
      </w:numPr>
      <w:tabs>
        <w:tab w:val="left" w:pos="945"/>
        <w:tab w:val="left" w:pos="1260"/>
        <w:tab w:val="left" w:pos="1680"/>
      </w:tabs>
      <w:outlineLvl w:val="5"/>
    </w:pPr>
    <w:rPr>
      <w:rFonts w:ascii="黑体" w:eastAsia="黑体"/>
      <w:kern w:val="0"/>
      <w:szCs w:val="20"/>
    </w:rPr>
  </w:style>
  <w:style w:type="paragraph" w:customStyle="1" w:styleId="3">
    <w:name w:val="三级条标题"/>
    <w:basedOn w:val="4"/>
    <w:next w:val="7"/>
    <w:qFormat/>
    <w:uiPriority w:val="0"/>
    <w:pPr>
      <w:numPr>
        <w:ilvl w:val="3"/>
        <w:numId w:val="0"/>
      </w:numPr>
      <w:tabs>
        <w:tab w:val="left" w:pos="945"/>
        <w:tab w:val="left" w:pos="1260"/>
        <w:tab w:val="left" w:pos="1680"/>
      </w:tabs>
      <w:outlineLvl w:val="4"/>
    </w:pPr>
  </w:style>
  <w:style w:type="paragraph" w:customStyle="1" w:styleId="4">
    <w:name w:val="二级条标题"/>
    <w:basedOn w:val="5"/>
    <w:next w:val="7"/>
    <w:qFormat/>
    <w:uiPriority w:val="0"/>
    <w:pPr>
      <w:numPr>
        <w:ilvl w:val="3"/>
        <w:numId w:val="1"/>
      </w:numPr>
      <w:tabs>
        <w:tab w:val="left" w:pos="945"/>
        <w:tab w:val="left" w:pos="1260"/>
      </w:tabs>
      <w:outlineLvl w:val="3"/>
    </w:pPr>
  </w:style>
  <w:style w:type="paragraph" w:customStyle="1" w:styleId="5">
    <w:name w:val="一级条标题"/>
    <w:basedOn w:val="6"/>
    <w:next w:val="7"/>
    <w:qFormat/>
    <w:uiPriority w:val="0"/>
    <w:pPr>
      <w:numPr>
        <w:ilvl w:val="2"/>
        <w:numId w:val="1"/>
      </w:numPr>
      <w:tabs>
        <w:tab w:val="left" w:pos="945"/>
      </w:tabs>
      <w:spacing w:before="0" w:beforeLines="0" w:after="0" w:afterLines="0"/>
      <w:outlineLvl w:val="2"/>
    </w:pPr>
  </w:style>
  <w:style w:type="paragraph" w:customStyle="1" w:styleId="6">
    <w:name w:val="章标题"/>
    <w:next w:val="7"/>
    <w:qFormat/>
    <w:uiPriority w:val="0"/>
    <w:pPr>
      <w:numPr>
        <w:ilvl w:val="1"/>
        <w:numId w:val="2"/>
      </w:numPr>
      <w:spacing w:before="50" w:after="50"/>
      <w:jc w:val="both"/>
      <w:outlineLvl w:val="1"/>
    </w:pPr>
    <w:rPr>
      <w:rFonts w:ascii="黑体" w:hAnsi="Calibri" w:eastAsia="黑体" w:cs="Times New Roman"/>
      <w:sz w:val="21"/>
      <w:lang w:val="en-US" w:eastAsia="zh-CN" w:bidi="ar-SA"/>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0">
    <w:name w:val="Body Text"/>
    <w:basedOn w:val="1"/>
    <w:next w:val="11"/>
    <w:qFormat/>
    <w:uiPriority w:val="0"/>
    <w:pPr>
      <w:spacing w:after="120"/>
    </w:pPr>
    <w:rPr>
      <w:rFonts w:ascii="Times New Roman" w:hAnsi="Times New Roman" w:eastAsia="宋体" w:cs="Times New Roman"/>
    </w:rPr>
  </w:style>
  <w:style w:type="paragraph" w:customStyle="1" w:styleId="11">
    <w:name w:val="xl27"/>
    <w:basedOn w:val="1"/>
    <w:next w:val="1"/>
    <w:qFormat/>
    <w:uiPriority w:val="0"/>
    <w:pPr>
      <w:widowControl/>
      <w:spacing w:before="100" w:beforeAutospacing="1" w:after="100" w:afterAutospacing="1"/>
      <w:jc w:val="left"/>
    </w:pPr>
    <w:rPr>
      <w:color w:val="FF0000"/>
      <w:kern w:val="0"/>
    </w:rPr>
  </w:style>
  <w:style w:type="paragraph" w:styleId="12">
    <w:name w:val="Body Text Indent"/>
    <w:basedOn w:val="1"/>
    <w:next w:val="13"/>
    <w:qFormat/>
    <w:uiPriority w:val="0"/>
    <w:pPr>
      <w:spacing w:after="120"/>
      <w:ind w:left="420" w:leftChars="200"/>
    </w:pPr>
  </w:style>
  <w:style w:type="paragraph" w:styleId="13">
    <w:name w:val="Body Text First Indent 2"/>
    <w:basedOn w:val="12"/>
    <w:next w:val="14"/>
    <w:qFormat/>
    <w:uiPriority w:val="0"/>
    <w:pPr>
      <w:ind w:firstLine="420"/>
    </w:pPr>
  </w:style>
  <w:style w:type="paragraph" w:styleId="14">
    <w:name w:val="Body Text First Indent"/>
    <w:basedOn w:val="10"/>
    <w:next w:val="1"/>
    <w:qFormat/>
    <w:uiPriority w:val="0"/>
    <w:pPr>
      <w:adjustRightInd w:val="0"/>
      <w:snapToGrid w:val="0"/>
      <w:spacing w:after="0" w:line="360" w:lineRule="auto"/>
      <w:ind w:firstLine="200"/>
      <w:jc w:val="both"/>
    </w:pPr>
    <w:rPr>
      <w:kern w:val="2"/>
      <w:sz w:val="24"/>
    </w:rPr>
  </w:style>
  <w:style w:type="paragraph" w:customStyle="1" w:styleId="17">
    <w:name w:val="Date1"/>
    <w:basedOn w:val="1"/>
    <w:next w:val="1"/>
    <w:qFormat/>
    <w:uiPriority w:val="0"/>
    <w:pPr>
      <w:adjustRightInd w:val="0"/>
      <w:jc w:val="left"/>
      <w:textAlignment w:val="baseline"/>
    </w:pPr>
    <w:rPr>
      <w:rFonts w:ascii="宋体" w:hAnsi="宋体"/>
      <w:sz w:val="28"/>
      <w:szCs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1326</Words>
  <Characters>1421</Characters>
  <Lines>7</Lines>
  <Paragraphs>2</Paragraphs>
  <TotalTime>21</TotalTime>
  <ScaleCrop>false</ScaleCrop>
  <LinksUpToDate>false</LinksUpToDate>
  <CharactersWithSpaces>1423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2020-07-12T13:16:00Z</dcterms:created>
  <dc:creator>Lenovo</dc:creator>
  <cp:lastModifiedBy>zp</cp:lastModifiedBy>
  <cp:lastPrinted>2022-05-12T03:43:00Z</cp:lastPrinted>
  <dcterms:modified xsi:type="dcterms:W3CDTF">2022-08-01T06:31:14Z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4225DB6250D2480DA716C7C05A97AA81</vt:lpwstr>
  </property>
</Properties>
</file>