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附件：1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年度部门整体支出绩效评价基础数据表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年度部门整体支出绩效自评表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1596" w:leftChars="57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直预算部门整体支出绩效自评报告 （统一参考格式）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部门整体支出绩效自评工作考核评分表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spacing w:after="120" w:afterLines="50" w:line="60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</w:p>
    <w:p>
      <w:pPr>
        <w:spacing w:after="120" w:afterLines="50" w:line="60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>
      <w:pPr>
        <w:spacing w:after="120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2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年度部门整体支出绩效评价基础数据表</w:t>
      </w:r>
    </w:p>
    <w:tbl>
      <w:tblPr>
        <w:tblStyle w:val="7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116.67%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0.41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0.62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0.41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1.92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0.62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7187.52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7187.52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1、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农村和水运客运及城市公交补助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335.86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120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335.86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2、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公路建设养护支出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6789.02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6789.02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3、站场建设支出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22.64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22.64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仿宋_GB2312" w:cs="Calibri"/>
                <w:sz w:val="20"/>
                <w:szCs w:val="20"/>
                <w:highlight w:val="none"/>
                <w:lang w:val="en-US" w:eastAsia="zh-CN"/>
              </w:rPr>
              <w:t>①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公交车政策性补助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599.44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599.44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44.17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44.17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15.89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84.51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499.89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821.59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楼堂馆所控制情况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批复规模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</w:p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        填报日期：          联系电话：          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7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14"/>
        <w:gridCol w:w="1268"/>
        <w:gridCol w:w="1336"/>
        <w:gridCol w:w="1336"/>
        <w:gridCol w:w="710"/>
        <w:gridCol w:w="871"/>
        <w:gridCol w:w="14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901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岳阳市君山区交通运输局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0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0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619.89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8107.74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8009.11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98.78%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33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7907.79</w:t>
            </w:r>
          </w:p>
        </w:tc>
        <w:tc>
          <w:tcPr>
            <w:tcW w:w="433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821.59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33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7187.52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</w:p>
        </w:tc>
        <w:tc>
          <w:tcPr>
            <w:tcW w:w="433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8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199.95</w:t>
            </w:r>
          </w:p>
        </w:tc>
        <w:tc>
          <w:tcPr>
            <w:tcW w:w="433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任务1、对交通重大项目建设前期推进。任务2、深化平安交通和绿色交通建设。任务3、提升行业治理能力，推进法制工作和道路安全及治超工作开展。任务4、全面加强党的建设。任务5、维持单位日常运转支付人员工资及开展日常工作。　　</w:t>
            </w:r>
          </w:p>
        </w:tc>
        <w:tc>
          <w:tcPr>
            <w:tcW w:w="43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完成了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对交通重大项目建设前期推进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;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深化平安交通和绿色交通建设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提升行业治理能力，推进法制工作和道路安全及治超工作开展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全面加强党的建设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维持单位日常运转支付人员工资及开展日常工作。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1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开展交通安全检查工作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560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560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对汽运安全检查10次，水运安全检查12次，共发现安全隐患37处，全部已整改到位。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8分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全面加强党的建设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≥4次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开展了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次党课学习教育活动，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次微党课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分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作风建设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≥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次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每月一次作风建设检查，提高工作效率。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分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交通问题顽瘴痼疾整治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≥90分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该项工作在市区级考核中达101.64分；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分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交通运输行业检查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≥12次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对汽运安全检查10次，水运安全检查12次，共发现安全隐患37处，全部已整改到位。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　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分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u w:val="none"/>
              </w:rPr>
              <w:t>时效指标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u w:val="none"/>
              </w:rPr>
              <w:t>项目完成及时率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u w:val="none"/>
              </w:rPr>
              <w:t>　=100%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u w:val="none"/>
              </w:rPr>
              <w:t>政府项目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u w:val="none"/>
                <w:lang w:eastAsia="zh-CN"/>
              </w:rPr>
              <w:t>按合同及时完成。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分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u w:val="none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u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财政资金支出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≤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499.89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万元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部门整体经费（不含项目建设费）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821.59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万元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  <w:t>。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分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  <w:t>人员支出部份增加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。是因为补发了前二年的绩效，支付了以前年度欠的医保和养老统筹单位部份。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1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提高群众出行安全、便利性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群众出行安全得到保障，道路畅通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10分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 xml:space="preserve"> 促进绿色交通建设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  <w:t>有效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促进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推进城乡公交一体化，新能源公交推广，绿色出行。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10分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道路通畅，居民出行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促进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  <w:t>新建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34个公交停靠站点，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auto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t>新建1个临时公交站场，实现公共交通城乡全覆盖。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10分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1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社会公众满意度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≥90%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对部门整体工作开展情况的社会公众满意度达到目标值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10分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6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1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bookmarkStart w:id="0" w:name="_GoBack"/>
            <w:bookmarkEnd w:id="0"/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0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94.9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line="600" w:lineRule="exact"/>
        <w:ind w:firstLine="440" w:firstLineChars="200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eastAsia="zh-CN"/>
        </w:rPr>
        <w:t>李海燕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6月12日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13789008293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7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公交车政策性补贴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（君山公交公司）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　岳阳市君山区交通运输局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岳阳市君山公交有限公司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承担社会义务，按政策性规定降低票价，让广大市民享受国家规定的优惠政策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小学生票价减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，65岁以上老人、现役军人、盲人和伤残警察等全部实行免费乘车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公交政策性补贴老年卡使用次数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40万人次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≥40万人次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15分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公交车惠民政策普及率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公交车惠民政策普及率达到100%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15分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目标2024/12/31前完成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项目经费控制在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万元以内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60万元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降低公交公司运输成本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60万元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显著提升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8分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改善民生降低群众费用开支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免费乘次100万人次以上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显著提升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8分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促进社会和谐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0排污量0耗油量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有所提升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8分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保护生态环境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改善生态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有所提升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群众满意率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群众满意率96%以上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≥9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驾驶员服务意识有待改进；改进驾驶员服务态度，提升驾驶员素质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eastAsia="zh-CN"/>
        </w:rPr>
        <w:t>刘梓晴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2024年5月27日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13037302924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eastAsia="zh-CN"/>
        </w:rPr>
        <w:t>字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</w:p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7"/>
        <w:tblW w:w="9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141"/>
        <w:gridCol w:w="885"/>
        <w:gridCol w:w="1695"/>
        <w:gridCol w:w="900"/>
        <w:gridCol w:w="1590"/>
        <w:gridCol w:w="660"/>
        <w:gridCol w:w="766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85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  <w:t>公交车政策性补贴（钱粮湖公交）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6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岳阳市君山区交通运输局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264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岳阳市君山区城乡公共汽车有限公司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02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9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02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02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9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02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02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3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承担社会义务，按照政策规定降低票价，让广大城乡居民享受国家规定的惠民政策。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23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小学生票价减半及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65岁以上老人、现役军人、盲人等实行免费乘车。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1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9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0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老年卡使用次数</w:t>
            </w:r>
          </w:p>
        </w:tc>
        <w:tc>
          <w:tcPr>
            <w:tcW w:w="9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35万次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项目期限内老年卡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35万次以上每年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12分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12分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Arial" w:hAnsi="Arial" w:eastAsia="仿宋_GB2312" w:cs="Arial"/>
                <w:color w:val="000000"/>
                <w:sz w:val="20"/>
                <w:szCs w:val="20"/>
                <w:highlight w:val="none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0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公交车惠民政策普及率</w:t>
            </w:r>
          </w:p>
        </w:tc>
        <w:tc>
          <w:tcPr>
            <w:tcW w:w="9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公交车惠民政策普及率达到100%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12分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12分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Arial" w:hAnsi="Arial" w:eastAsia="仿宋_GB2312" w:cs="Arial"/>
                <w:color w:val="000000"/>
                <w:sz w:val="20"/>
                <w:szCs w:val="20"/>
                <w:highlight w:val="none"/>
              </w:rPr>
              <w:t>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项目完成及时率</w:t>
            </w:r>
          </w:p>
        </w:tc>
        <w:tc>
          <w:tcPr>
            <w:tcW w:w="9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2023/12/31前完成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12分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12分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Arial" w:hAnsi="Arial" w:eastAsia="仿宋_GB2312" w:cs="Arial"/>
                <w:color w:val="000000"/>
                <w:sz w:val="20"/>
                <w:szCs w:val="20"/>
                <w:highlight w:val="none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0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公交车政策性补贴</w:t>
            </w:r>
          </w:p>
        </w:tc>
        <w:tc>
          <w:tcPr>
            <w:tcW w:w="9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60万元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项目支出控制在预算内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14分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14分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Arial" w:hAnsi="Arial" w:eastAsia="仿宋_GB2312" w:cs="Arial"/>
                <w:color w:val="000000"/>
                <w:sz w:val="20"/>
                <w:szCs w:val="20"/>
                <w:highlight w:val="none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降低公交公司运输成本</w:t>
            </w:r>
          </w:p>
        </w:tc>
        <w:tc>
          <w:tcPr>
            <w:tcW w:w="9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60万元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有效改善公交企业财务状况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8分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8分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Arial" w:hAnsi="Arial" w:eastAsia="仿宋_GB2312" w:cs="Arial"/>
                <w:color w:val="000000"/>
                <w:sz w:val="20"/>
                <w:szCs w:val="20"/>
                <w:highlight w:val="none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降低市民低成本出行</w:t>
            </w:r>
          </w:p>
        </w:tc>
        <w:tc>
          <w:tcPr>
            <w:tcW w:w="9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提升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明显提升市民出行幸福感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8分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8分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Arial" w:hAnsi="Arial" w:eastAsia="仿宋_GB2312" w:cs="Arial"/>
                <w:color w:val="000000"/>
                <w:sz w:val="20"/>
                <w:szCs w:val="20"/>
                <w:highlight w:val="none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降低汽车排放对环境影响</w:t>
            </w:r>
          </w:p>
        </w:tc>
        <w:tc>
          <w:tcPr>
            <w:tcW w:w="9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0排污量0耗油量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环境明显保护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8分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8分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Arial" w:hAnsi="Arial" w:eastAsia="仿宋_GB2312" w:cs="Arial"/>
                <w:color w:val="000000"/>
                <w:sz w:val="20"/>
                <w:szCs w:val="20"/>
                <w:highlight w:val="none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有利于公交公益性政策的实现和有效延续</w:t>
            </w:r>
          </w:p>
        </w:tc>
        <w:tc>
          <w:tcPr>
            <w:tcW w:w="9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有利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明显有利公交事业发展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6分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6分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Arial" w:hAnsi="Arial" w:eastAsia="仿宋_GB2312" w:cs="Arial"/>
                <w:color w:val="000000"/>
                <w:sz w:val="20"/>
                <w:szCs w:val="20"/>
                <w:highlight w:val="none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107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8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群众满意率</w:t>
            </w:r>
          </w:p>
        </w:tc>
        <w:tc>
          <w:tcPr>
            <w:tcW w:w="9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96%</w:t>
            </w:r>
          </w:p>
        </w:tc>
        <w:tc>
          <w:tcPr>
            <w:tcW w:w="1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群众满意率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96%以上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10分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8分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提高群众满意度、提升服务能力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89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eastAsia="zh-CN"/>
        </w:rPr>
        <w:t>：杨丽芳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                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2024年5月28日</w:t>
      </w:r>
    </w:p>
    <w:p>
      <w:pP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sectPr>
          <w:footerReference r:id="rId3" w:type="default"/>
          <w:pgSz w:w="11906" w:h="16838"/>
          <w:pgMar w:top="1157" w:right="1123" w:bottom="1157" w:left="112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0" w:num="1"/>
          <w:rtlGutter w:val="0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联系电话：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18973056939                 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eastAsia="zh-CN"/>
        </w:rPr>
        <w:t>人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签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eastAsia="zh-CN"/>
        </w:rPr>
        <w:t>字：</w:t>
      </w: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君山区交通运输局单位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>（盖章）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2024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 xml:space="preserve">年 </w:t>
      </w: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 xml:space="preserve"> 月</w:t>
      </w: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12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 xml:space="preserve">  日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（此页为封面）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君山区交通运输局单位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>
      <w:pPr>
        <w:widowControl/>
        <w:numPr>
          <w:ilvl w:val="0"/>
          <w:numId w:val="1"/>
        </w:numPr>
        <w:spacing w:line="480" w:lineRule="auto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部门（单位）基本情况</w:t>
      </w:r>
    </w:p>
    <w:p>
      <w:pPr>
        <w:widowControl/>
        <w:numPr>
          <w:ilvl w:val="0"/>
          <w:numId w:val="0"/>
        </w:numPr>
        <w:spacing w:line="480" w:lineRule="auto"/>
        <w:ind w:firstLine="840" w:firstLineChars="300"/>
        <w:rPr>
          <w:rFonts w:hint="eastAsia" w:ascii="宋体" w:hAnsi="宋体" w:eastAsia="宋体" w:cs="宋体"/>
          <w:color w:val="FF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区交通运输局设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7个内设机构：办公室（党建办）、政策法规股、规划统计和基本建设股（行政审批股）、运管公交股（交通战备办）、安全监督管理和渔业船舶检验股、政工人事股、财务股（审计股）。</w:t>
      </w:r>
      <w:r>
        <w:rPr>
          <w:rFonts w:hint="eastAsia" w:ascii="宋体" w:hAnsi="宋体" w:eastAsia="宋体" w:cs="宋体"/>
          <w:kern w:val="0"/>
          <w:sz w:val="28"/>
          <w:szCs w:val="28"/>
        </w:rPr>
        <w:t>20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23君山区交通运输局本级一个单位。交通运输局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共29人，其中行政编制8人，事业编制4人，无编人员2人，退休人员15人。设局长1名，副局长3名，总工程师1名。</w:t>
      </w:r>
    </w:p>
    <w:p>
      <w:pPr>
        <w:widowControl/>
        <w:spacing w:line="48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单位的主要职能：</w:t>
      </w:r>
    </w:p>
    <w:p>
      <w:pPr>
        <w:spacing w:beforeLines="0" w:afterLines="0" w:line="480" w:lineRule="auto"/>
        <w:ind w:firstLine="48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kern w:val="0"/>
          <w:sz w:val="28"/>
          <w:szCs w:val="28"/>
        </w:rPr>
        <w:t>承担涉及综合运输体系的规划协调工作，会同有关部门组织编制全区综合运输体系规划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，指导交通运输枢纽规划和管理</w:t>
      </w:r>
      <w:r>
        <w:rPr>
          <w:rFonts w:hint="eastAsia" w:ascii="宋体" w:hAnsi="宋体" w:eastAsia="宋体" w:cs="宋体"/>
          <w:kern w:val="0"/>
          <w:sz w:val="28"/>
          <w:szCs w:val="28"/>
        </w:rPr>
        <w:t>；</w:t>
      </w:r>
    </w:p>
    <w:p>
      <w:pPr>
        <w:spacing w:beforeLines="0" w:afterLines="0" w:line="480" w:lineRule="auto"/>
        <w:ind w:firstLine="48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kern w:val="0"/>
          <w:sz w:val="28"/>
          <w:szCs w:val="28"/>
        </w:rPr>
        <w:t>组织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指导</w:t>
      </w:r>
      <w:r>
        <w:rPr>
          <w:rFonts w:hint="eastAsia" w:ascii="宋体" w:hAnsi="宋体" w:eastAsia="宋体" w:cs="宋体"/>
          <w:kern w:val="0"/>
          <w:sz w:val="28"/>
          <w:szCs w:val="28"/>
        </w:rPr>
        <w:t>并监督实施全区公路行业政策和标准；</w:t>
      </w:r>
    </w:p>
    <w:p>
      <w:pPr>
        <w:spacing w:beforeLines="0" w:afterLines="0" w:line="480" w:lineRule="auto"/>
        <w:ind w:firstLine="48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3、负责交通运输行政执法工作。</w:t>
      </w:r>
    </w:p>
    <w:p>
      <w:pPr>
        <w:spacing w:beforeLines="0" w:afterLines="0" w:line="480" w:lineRule="auto"/>
        <w:ind w:firstLine="48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4、参与拟订物流业发展战略和规划，拟订有关政策并监督实施。</w:t>
      </w:r>
    </w:p>
    <w:p>
      <w:pPr>
        <w:spacing w:beforeLines="0" w:afterLines="0" w:line="480" w:lineRule="auto"/>
        <w:ind w:firstLine="480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kern w:val="0"/>
          <w:sz w:val="28"/>
          <w:szCs w:val="28"/>
        </w:rPr>
        <w:t>承担道路运输市场监管责任；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组织全区道路运输有关政策和运营规范的监督实施，指导全区城乡客运及有关设施规划和管理工作，负责城市公共交通客运管理工作。</w:t>
      </w:r>
    </w:p>
    <w:p>
      <w:pPr>
        <w:spacing w:beforeLines="0" w:afterLines="0" w:line="480" w:lineRule="auto"/>
        <w:ind w:firstLine="48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6、负责提出全区公路、内河水路固定资产投资规模和方向、区级财政性资金安排建议，按区政府规定权限审批、核准全区规划内和年度计划规模内固定资产投资项目；提出有关财政、土地、价格等政策建议。</w:t>
      </w:r>
    </w:p>
    <w:p>
      <w:pPr>
        <w:spacing w:beforeLines="0" w:afterLines="0" w:line="480" w:lineRule="auto"/>
        <w:ind w:firstLine="48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7、负责公路、公路桥梁、渡口、隧道的行业管理。</w:t>
      </w:r>
    </w:p>
    <w:p>
      <w:pPr>
        <w:spacing w:beforeLines="0" w:afterLines="0" w:line="480" w:lineRule="auto"/>
        <w:ind w:firstLine="48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8、承担公路、内河水建设市场监管责任；拟订全区公路、水路工程建设相关制度并监督实施；组织实施国家、省、市、区重点和大中弄公路、内河水路交通工程建设，负责公路、内河水路交通建设工程造价控制和工程质量、安全生产的监督管理，负责交通重点工程建设资金的筹集，区管交通资金的拔付和监管；指导交通运输基础设施管理和维护，承担有有关重要设施的管理和维护。</w:t>
      </w:r>
    </w:p>
    <w:p>
      <w:pPr>
        <w:spacing w:beforeLines="0" w:afterLines="0" w:line="480" w:lineRule="auto"/>
        <w:ind w:firstLine="48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9、指导全区公路、内河水路行业安全生产和应急管理工作。</w:t>
      </w:r>
    </w:p>
    <w:p>
      <w:pPr>
        <w:spacing w:beforeLines="0" w:afterLines="0" w:line="480" w:lineRule="auto"/>
        <w:ind w:firstLine="480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10、</w:t>
      </w:r>
      <w:r>
        <w:rPr>
          <w:rFonts w:hint="eastAsia" w:ascii="宋体" w:hAnsi="宋体" w:eastAsia="宋体" w:cs="宋体"/>
          <w:kern w:val="0"/>
          <w:sz w:val="28"/>
          <w:szCs w:val="28"/>
        </w:rPr>
        <w:t>负责全区交通运输行业科技工作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。</w:t>
      </w:r>
    </w:p>
    <w:p>
      <w:pPr>
        <w:spacing w:beforeLines="0" w:afterLines="0" w:line="480" w:lineRule="auto"/>
        <w:ind w:firstLine="48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11、负责审核、审批本辖区内交通运输行业行政许可工作。</w:t>
      </w:r>
    </w:p>
    <w:p>
      <w:pPr>
        <w:spacing w:beforeLines="0" w:afterLines="0" w:line="480" w:lineRule="auto"/>
        <w:ind w:firstLine="480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12、</w:t>
      </w:r>
      <w:r>
        <w:rPr>
          <w:rFonts w:hint="eastAsia" w:ascii="宋体" w:hAnsi="宋体" w:eastAsia="宋体" w:cs="宋体"/>
          <w:kern w:val="0"/>
          <w:sz w:val="28"/>
          <w:szCs w:val="28"/>
        </w:rPr>
        <w:t>指导交通运输行业开展对外交流合作和交通外经外贸工作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。</w:t>
      </w:r>
    </w:p>
    <w:p>
      <w:pPr>
        <w:spacing w:beforeLines="0" w:afterLines="0" w:line="480" w:lineRule="auto"/>
        <w:ind w:firstLine="48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13、负责渔船检验和监督管理工作。</w:t>
      </w:r>
    </w:p>
    <w:p>
      <w:pPr>
        <w:spacing w:beforeLines="0" w:afterLines="0" w:line="480" w:lineRule="auto"/>
        <w:ind w:firstLine="48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14、</w:t>
      </w:r>
      <w:r>
        <w:rPr>
          <w:rFonts w:hint="eastAsia" w:ascii="宋体" w:hAnsi="宋体" w:eastAsia="宋体" w:cs="宋体"/>
          <w:kern w:val="0"/>
          <w:sz w:val="28"/>
          <w:szCs w:val="28"/>
        </w:rPr>
        <w:t>承办区委、区人民政府交办的其他事项。</w:t>
      </w:r>
    </w:p>
    <w:p>
      <w:pPr>
        <w:spacing w:beforeLines="0" w:afterLines="0" w:line="480" w:lineRule="auto"/>
        <w:ind w:firstLine="48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15、职能转变。区交通运输局要切实强化综合交通运输理念，推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动交通运输行业转变政府职能，深化简政放权；规范行政审批运行机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制，推行交通运输综合审批服务，提高交通运输政务服务效率和质量；加快综合交通运输现代化治理体系建设，提供优质便民化服务，建设人民满意交通。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二、一般公共预算支出情况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（一）基本支出情况</w:t>
      </w:r>
    </w:p>
    <w:p>
      <w:pPr>
        <w:spacing w:line="560" w:lineRule="exact"/>
        <w:ind w:firstLine="840" w:firstLineChars="300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基本支出821.59万元：其中人员支出601.6万元，占基本支出的73.22%，公用支出219.99万元，占基本支出的26.78%。其中局总人数29人，人员支出人均20.74万元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。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项目支出情况</w:t>
      </w:r>
    </w:p>
    <w:p>
      <w:pPr>
        <w:spacing w:line="560" w:lineRule="exact"/>
        <w:ind w:firstLine="840" w:firstLineChars="300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2023年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专项资金收入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7187.52万元（其中上年结转31.9万元，本年项目拔7155.62万元），本年专项资金支出7187.52万元，年末项目结转0万元。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政府性基金预算支出情况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本单位无政府性基金支出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国有资本经营预算支出情况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本单位无国有资本经营支出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社会保险基金预算支出情况</w:t>
      </w:r>
    </w:p>
    <w:p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本单位无</w:t>
      </w:r>
      <w:r>
        <w:rPr>
          <w:rFonts w:hint="eastAsia" w:ascii="宋体" w:hAnsi="宋体" w:cs="宋体"/>
          <w:b w:val="0"/>
          <w:bCs w:val="0"/>
          <w:sz w:val="28"/>
          <w:szCs w:val="28"/>
          <w:highlight w:val="none"/>
          <w:lang w:val="en-US" w:eastAsia="zh-CN"/>
        </w:rPr>
        <w:t>社会保险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基金支出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1、预算配置方面：财政供养人员控制率达100%，“三公经费”使用比上年增加0.21万元，增加151%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增加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/>
        </w:rPr>
        <w:t>主要原因是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因为去年的公务接待费用太少，我单位的公务接待费用没有超年初预算费用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。重点支出安排与预算和计划基本一致。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2、预处执行方面：预算调整率过大，因年初预算非全口径预算，基本支出和项目支出都由本单位出具报告追加预算，年初预算调整率达1300%;项目支付进度是按照项目进度申报;今年资金结余98.63万元。</w:t>
      </w:r>
    </w:p>
    <w:p>
      <w:pPr>
        <w:spacing w:line="560" w:lineRule="exact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3、预算管理方面：管理制度健全性：我单位制定了完整的财务管理制度。资金的使用合完全符合国家财经法规和财务管理制度执行，资金的拔付和项目的支出都严格按照财务制度执行。预决算信息公开都按规定内容在规定时限内公开。资产管理已制定管理制度，并按制度执行，资产管理由专人管理，设立资产台账，并及时清对，做到账账相符，账实相符。</w:t>
      </w:r>
    </w:p>
    <w:p>
      <w:pPr>
        <w:numPr>
          <w:ilvl w:val="0"/>
          <w:numId w:val="0"/>
        </w:numPr>
        <w:snapToGrid w:val="0"/>
        <w:spacing w:line="520" w:lineRule="exact"/>
        <w:ind w:firstLine="840" w:firstLineChars="300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4、职责履行方面：</w:t>
      </w:r>
      <w:r>
        <w:rPr>
          <w:rFonts w:hint="eastAsia" w:ascii="宋体" w:hAnsi="宋体" w:eastAsia="宋体" w:cs="宋体"/>
          <w:sz w:val="28"/>
          <w:szCs w:val="28"/>
        </w:rPr>
        <w:t>我局扎实推进项目建设，稳定交通投资，做好精准调控，加快构建高质量现代化交通基础设施网络体系。坚持守好生态底线，坚持守好安全底线，竭力加强超限超载治理，竭力推动公交发展，保障公共社会安全，保障人民的安全出行和便利出行，圆满完成了上级交付的工作任务。推进交通问题“顽瘴痼疾”的整治，保持超限运输治理高压态势，保持路域环境治理高压态势，保持对“打非治违”的高压态势，做好安全保畅工作，重点加强节假日等重点时段和“两客一危”等关键领域安全监管，开展安全宣教培训，增强企业和从业人员安全生产意识。2023年5月份完成市级“城乡客运一体化示范县”验收。2023年7月13-14日，经省交通运输厅验收组认真评审，初步认为君山区“城乡客运一体化示范县”创建符合验收标准。至目前君山区已开通城乡公交班线13条，其中市际公交线3条，区内公交线10条，新能源公交运营车辆102台，实现了全区所有乡镇、76个行政村（社区）公交车通达率100%目标，城市公共交通站点全覆盖。抓好党建引领，强化支部班子建设，开展“四亮创建”活动，强化党员队伍建设。推进“清廉执法”建设，推进党建促乡村振兴，深入联点村和学校开展调研走访活动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FF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    5、我单位产生的经济效益主要是保障道路通障，社会效益是保障人民的安全出行和公交政策推行。生态效益是推行绿色交通，生态环保。社会公众或服务对象的满意度98%。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七、存在的问题及原因分析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/>
        <w:contextualSpacing/>
        <w:textAlignment w:val="auto"/>
        <w:rPr>
          <w:rFonts w:hint="eastAsia" w:ascii="宋体" w:hAnsi="宋体" w:eastAsia="宋体" w:cs="宋体"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配套资金难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以</w:t>
      </w:r>
      <w:r>
        <w:rPr>
          <w:rFonts w:hint="eastAsia" w:ascii="宋体" w:hAnsi="宋体" w:eastAsia="宋体" w:cs="宋体"/>
          <w:sz w:val="28"/>
          <w:szCs w:val="28"/>
        </w:rPr>
        <w:t>到位，根据省厅文件，地方配套资金按照50%的比例进行配套，因我区财政紧张，配套资金一直以来都无法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全部</w:t>
      </w:r>
      <w:r>
        <w:rPr>
          <w:rFonts w:hint="eastAsia" w:ascii="宋体" w:hAnsi="宋体" w:eastAsia="宋体" w:cs="宋体"/>
          <w:sz w:val="28"/>
          <w:szCs w:val="28"/>
        </w:rPr>
        <w:t>到位，导致工程建设无法正常建设。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财政年初预算资金与今年实际支付资金差额较大，首先项目支出中的上级专项资金没有纳入预算，指标到达时追加指标；基本支出差额较大的原因主要是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2023年补发往年和本年绩效奖励106.23万，增加抚恤支出35.45万元，追加解困经费230万元。</w:t>
      </w:r>
    </w:p>
    <w:p>
      <w:pPr>
        <w:shd w:val="clear" w:color="auto" w:fill="FFFFFF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八、下一步改进措施</w:t>
      </w:r>
    </w:p>
    <w:p>
      <w:pPr>
        <w:shd w:val="clear" w:color="auto" w:fill="FFFFFF"/>
        <w:spacing w:line="6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1、针对配套资金不到位的问题，加强与相关领导、部门沟通，争取配套资金。</w:t>
      </w:r>
    </w:p>
    <w:p>
      <w:pPr>
        <w:shd w:val="clear" w:color="auto" w:fill="FFFFFF"/>
        <w:spacing w:line="6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2、年初预算与实际支付差额较大，争取财政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全口径预算单位运转支出整体经费，减少年初预算与全年预算差额。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九、部门整体支出绩效自评结果拟应用和公开情况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其他需要说明的情况</w:t>
      </w:r>
    </w:p>
    <w:p>
      <w:pPr>
        <w:pStyle w:val="6"/>
        <w:ind w:firstLine="840" w:firstLineChars="3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eastAsia="zh-CN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报告需要以下附件：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部门整体支出绩效评价基础数据表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部门整体支出绩效自评表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项目支出绩效自评表（一个一级项目支出一张表）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政府性基金预算支出情况表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社会保险基金预算支出情况表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5</w:t>
      </w:r>
    </w:p>
    <w:p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部门整体支出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highlight w:val="none"/>
        </w:rPr>
        <w:t>绩效自评工作考核评分表</w:t>
      </w:r>
    </w:p>
    <w:tbl>
      <w:tblPr>
        <w:tblStyle w:val="7"/>
        <w:tblW w:w="99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174"/>
        <w:gridCol w:w="5000"/>
        <w:gridCol w:w="30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一级指标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二级指标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评分标准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所需佐证材料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布置工作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自评通知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（8分）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印发绩效自评通知的得2分，否则不得分。</w:t>
            </w:r>
          </w:p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按照本规程规定，绩效自评通知包括自评范围、自评主要依据、自评主要内容、自评程序和步骤、有关要求等内容，并附有本通知要求的附件的，得6分；否则缺1项扣1分，最多扣6分。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绩效自评通知盖章的电子版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工作小组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成立绩效自评工作小组的得2分，否则不得分。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本部门、本单位预算绩效管理领导小组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绩效评价工作小组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有关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none"/>
              </w:rPr>
              <w:t>文件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盖章的电子版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实施评价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单位自查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预算部门本级和所属单位都要开展绩效自查，转移支付项目单位都要开展绩效自查，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县、区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级主管部门都要汇总本区域转移支付情况；以上各项每发现一个单位没有做相应工作的，扣1分，最多扣10分。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3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转移支付项目单位名称和资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金情况清单</w:t>
            </w:r>
          </w:p>
          <w:p>
            <w:pPr>
              <w:numPr>
                <w:ilvl w:val="0"/>
                <w:numId w:val="3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有转移支付资金的各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县区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主管部门汇总情况的盖章PDF版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提交报告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80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按时向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市财政局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报送报告的得10分；每推迟一个工作日报送报告的扣1分，最多扣10分。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70分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完整性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绩效自评报告正文部分内容齐全的，得8分；否则每少一个部分扣2分，最多扣8分。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绩效自评报告附件部分内容齐全的，得7分；否则每少一个部分扣2分，最多扣7分。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自评表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1、部门整体支出和项目支出绩效指标反映产出、效益、服务对象满意度方面的指标和预算执行率的权重符合《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岳阳市市级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预算部门绩效自评操作规程》要求的，得5分，否则按比例扣除相应的分数。</w:t>
            </w:r>
          </w:p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部门整体支出和项目支出绩效指标全部细化到三级指标的，得5分；部分细化的，酌情扣分；没有细化的，不得分。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部门整体支出和项目支出三级绩效指标内涵明确、具体、可衡量的得5分；突出核心指标，精简实用的得3分；指标与部门整体支出和项目支出密切相关，全面反映产出和效益的得2分；否则，每项酌情扣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反映问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题情况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从预算和预算绩效管理，部门履职效能，资金分配、使用和管理，资产和财务管理，政府采购等方面归纳问题、分析原因全面的，得20分；反映问题、分析原因较全面的，得16—18分；反映问题、分析原因不全面的，得13—15分；问题未归纳且过于简单的，得10—12分；只提出资金不足问题的不得分；其他情况酌情扣分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建议情况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建议与问题对应且全面的得15分，建议比较全面的得12—14分，建议不全面的得9—11分，建议过于简单的得6—8分，只提出加大资金投入建议的不得分；其他情况酌情扣分。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100分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96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F86983"/>
    <w:multiLevelType w:val="singleLevel"/>
    <w:tmpl w:val="2AF8698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18059D7"/>
    <w:multiLevelType w:val="singleLevel"/>
    <w:tmpl w:val="318059D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DDF8822"/>
    <w:multiLevelType w:val="singleLevel"/>
    <w:tmpl w:val="5DDF88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4Y2QzMjc4OWM3MDYzNDQ4YjQ0MDhjYWZiYmQxM2UifQ=="/>
  </w:docVars>
  <w:rsids>
    <w:rsidRoot w:val="59886344"/>
    <w:rsid w:val="13B127AE"/>
    <w:rsid w:val="1B8D3B96"/>
    <w:rsid w:val="1C49731E"/>
    <w:rsid w:val="1E4F7829"/>
    <w:rsid w:val="2D5E35E4"/>
    <w:rsid w:val="2EC31B19"/>
    <w:rsid w:val="302259F7"/>
    <w:rsid w:val="37A91223"/>
    <w:rsid w:val="386A1F3A"/>
    <w:rsid w:val="3995213C"/>
    <w:rsid w:val="3BAC4273"/>
    <w:rsid w:val="41DA7286"/>
    <w:rsid w:val="41F0490B"/>
    <w:rsid w:val="43075257"/>
    <w:rsid w:val="46987656"/>
    <w:rsid w:val="46FF153C"/>
    <w:rsid w:val="474A2200"/>
    <w:rsid w:val="5493456D"/>
    <w:rsid w:val="59886344"/>
    <w:rsid w:val="5B017DDB"/>
    <w:rsid w:val="5B0A0784"/>
    <w:rsid w:val="641508D3"/>
    <w:rsid w:val="734F1303"/>
    <w:rsid w:val="7A1C33F5"/>
    <w:rsid w:val="7C877F72"/>
    <w:rsid w:val="7DCF0956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99"/>
    <w:rPr>
      <w:kern w:val="0"/>
    </w:rPr>
  </w:style>
  <w:style w:type="paragraph" w:styleId="3">
    <w:name w:val="Body Text"/>
    <w:basedOn w:val="1"/>
    <w:next w:val="4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4">
    <w:name w:val="正文首行缩进1"/>
    <w:basedOn w:val="1"/>
    <w:qFormat/>
    <w:uiPriority w:val="0"/>
    <w:pPr>
      <w:adjustRightInd w:val="0"/>
      <w:spacing w:line="300" w:lineRule="atLeast"/>
      <w:ind w:firstLine="539"/>
      <w:textAlignment w:val="baseline"/>
    </w:pPr>
    <w:rPr>
      <w:rFonts w:ascii="宋体" w:eastAsia="宋体"/>
      <w:kern w:val="0"/>
      <w:sz w:val="24"/>
      <w:szCs w:val="20"/>
    </w:rPr>
  </w:style>
  <w:style w:type="paragraph" w:styleId="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"/>
    <w:basedOn w:val="3"/>
    <w:next w:val="1"/>
    <w:unhideWhenUsed/>
    <w:qFormat/>
    <w:uiPriority w:val="99"/>
    <w:pPr>
      <w:ind w:firstLine="420" w:firstLineChars="100"/>
    </w:pPr>
    <w:rPr>
      <w:szCs w:val="22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paragraph" w:styleId="10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6332</Words>
  <Characters>6937</Characters>
  <Lines>0</Lines>
  <Paragraphs>0</Paragraphs>
  <TotalTime>232</TotalTime>
  <ScaleCrop>false</ScaleCrop>
  <LinksUpToDate>false</LinksUpToDate>
  <CharactersWithSpaces>7356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燕子</cp:lastModifiedBy>
  <dcterms:modified xsi:type="dcterms:W3CDTF">2024-06-24T07:48:47Z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3820C4DC026C4EF490811B087ACE7546_13</vt:lpwstr>
  </property>
</Properties>
</file>