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spacing w:after="120" w:afterLines="50" w:line="600" w:lineRule="exact"/>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3</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3"/>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83</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100%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2</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both"/>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both"/>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2万</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173.51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104.4</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227.16</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35.9</w:t>
            </w:r>
            <w:r>
              <w:rPr>
                <w:rFonts w:hint="eastAsia" w:ascii="仿宋_GB2312" w:hAnsi="仿宋_GB2312" w:eastAsia="仿宋_GB2312" w:cs="仿宋_GB2312"/>
                <w:color w:val="FF0000"/>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30</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3.38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11.29</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　</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highlight w:val="none"/>
                <w:lang w:val="en-US" w:eastAsia="zh-CN"/>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1.58</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auto"/>
                <w:sz w:val="20"/>
                <w:szCs w:val="20"/>
                <w:highlight w:val="none"/>
                <w:lang w:val="en-US" w:eastAsia="zh-CN"/>
              </w:rPr>
              <w:t>0.6</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rPr>
              <w:t>楼堂馆所控制情况</w:t>
            </w:r>
          </w:p>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rPr>
              <w:t>批复规模</w:t>
            </w:r>
          </w:p>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bl>
    <w:p>
      <w:pPr>
        <w:widowControl/>
        <w:spacing w:afterLines="0" w:line="400" w:lineRule="exact"/>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highlight w:val="none"/>
        </w:rPr>
      </w:pPr>
    </w:p>
    <w:p>
      <w:pPr>
        <w:widowControl/>
        <w:spacing w:after="0" w:afterLines="0" w:line="400" w:lineRule="exact"/>
        <w:jc w:val="left"/>
        <w:rPr>
          <w:rFonts w:hint="eastAsia" w:ascii="黑体" w:hAnsi="黑体" w:eastAsia="黑体" w:cs="黑体"/>
          <w:sz w:val="32"/>
          <w:szCs w:val="32"/>
          <w:highlight w:val="none"/>
          <w:lang w:eastAsia="zh-CN"/>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val="en-US" w:eastAsia="zh-CN"/>
        </w:rPr>
        <w:t>黄袁</w:t>
      </w:r>
      <w:r>
        <w:rPr>
          <w:rFonts w:hint="default" w:ascii="Times New Roman" w:hAnsi="Times New Roman" w:eastAsia="仿宋_GB2312" w:cs="Times New Roman"/>
          <w:sz w:val="22"/>
          <w:highlight w:val="none"/>
        </w:rPr>
        <w:t xml:space="preserve">  填报日期：</w:t>
      </w:r>
      <w:r>
        <w:rPr>
          <w:rFonts w:hint="eastAsia" w:ascii="Times New Roman" w:hAnsi="Times New Roman" w:eastAsia="仿宋_GB2312" w:cs="Times New Roman"/>
          <w:sz w:val="22"/>
          <w:highlight w:val="none"/>
          <w:lang w:val="en-US" w:eastAsia="zh-CN"/>
        </w:rPr>
        <w:t>2024.6.25</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13975088985</w:t>
      </w:r>
      <w:r>
        <w:rPr>
          <w:rFonts w:hint="default" w:ascii="Times New Roman" w:hAnsi="Times New Roman" w:eastAsia="仿宋_GB2312" w:cs="Times New Roman"/>
          <w:sz w:val="22"/>
          <w:highlight w:val="none"/>
        </w:rPr>
        <w:t>单位负责人签字：</w:t>
      </w:r>
      <w:r>
        <w:rPr>
          <w:rFonts w:hint="eastAsia" w:ascii="Times New Roman" w:hAnsi="Times New Roman" w:eastAsia="仿宋_GB2312" w:cs="Times New Roman"/>
          <w:sz w:val="22"/>
          <w:highlight w:val="none"/>
          <w:lang w:val="en-US" w:eastAsia="zh-CN"/>
        </w:rPr>
        <w:t>孙建光</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3"/>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岳阳市君山区交通运输综合行政执法大队</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算申请</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1319.3</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1614.25</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1607.85</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99.6%</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1319.3</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1607.85</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25.64</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开展交通运输行政执法检查</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大于等于12次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12次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交通问题顽瘴痼疾整治</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大于等于92分</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交通运输行业检查</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大于等于12次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15次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项目完成及时率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等于100%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等于100%</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按项目预算完成</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等于180万元</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等于180万元</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财政资金支出</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部门整体经费控制在预算范围内</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预算范围内</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提高群众出行安全、便利性</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提高</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提高</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交通建设符合环境审批要求</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促进</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促进</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道路畅通。居民出行</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崔进</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促进</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社会公众满意度</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大于等于90%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大于等于90%</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Times New Roman" w:hAnsi="Times New Roman" w:eastAsia="仿宋_GB2312" w:cs="Times New Roman"/>
          <w:sz w:val="22"/>
          <w:szCs w:val="22"/>
          <w:highlight w:val="none"/>
          <w:lang w:val="en-US"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黄袁</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2024.6.25</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val="en-US" w:eastAsia="zh-CN"/>
        </w:rPr>
        <w:t>13975088985</w:t>
      </w:r>
      <w:r>
        <w:rPr>
          <w:rFonts w:hint="default" w:ascii="Times New Roman" w:hAnsi="Times New Roman" w:eastAsia="仿宋_GB2312" w:cs="Times New Roman"/>
          <w:sz w:val="22"/>
          <w:szCs w:val="22"/>
          <w:highlight w:val="none"/>
        </w:rPr>
        <w:t>单位负责人签字：</w:t>
      </w:r>
      <w:r>
        <w:rPr>
          <w:rFonts w:hint="eastAsia" w:ascii="Times New Roman" w:hAnsi="Times New Roman" w:eastAsia="仿宋_GB2312" w:cs="Times New Roman"/>
          <w:sz w:val="22"/>
          <w:szCs w:val="22"/>
          <w:highlight w:val="none"/>
          <w:lang w:val="en-US" w:eastAsia="zh-CN"/>
        </w:rPr>
        <w:t>孙建光</w:t>
      </w: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sz w:val="22"/>
          <w:szCs w:val="22"/>
          <w:highlight w:val="none"/>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sz w:val="22"/>
          <w:szCs w:val="22"/>
          <w:highlight w:val="none"/>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sz w:val="22"/>
          <w:szCs w:val="22"/>
          <w:highlight w:val="none"/>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sz w:val="22"/>
          <w:szCs w:val="22"/>
          <w:highlight w:val="none"/>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sz w:val="22"/>
          <w:szCs w:val="22"/>
          <w:highlight w:val="none"/>
        </w:rPr>
      </w:pPr>
    </w:p>
    <w:p>
      <w:pPr>
        <w:widowControl/>
        <w:spacing w:line="600" w:lineRule="exact"/>
        <w:jc w:val="left"/>
        <w:rPr>
          <w:rFonts w:hint="eastAsia" w:ascii="Times New Roman" w:hAnsi="Times New Roman" w:eastAsia="黑体" w:cs="Times New Roman"/>
          <w:sz w:val="32"/>
          <w:szCs w:val="32"/>
          <w:highlight w:val="none"/>
          <w:lang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项目资金</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rPr>
          <w:jc w:val="center"/>
        </w:trPr>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黄袁</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2024.6.25</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val="en-US" w:eastAsia="zh-CN"/>
        </w:rPr>
        <w:t>13975088985</w:t>
      </w:r>
      <w:r>
        <w:rPr>
          <w:rFonts w:hint="default" w:ascii="Times New Roman" w:hAnsi="Times New Roman" w:eastAsia="仿宋_GB2312" w:cs="Times New Roman"/>
          <w:sz w:val="22"/>
          <w:szCs w:val="22"/>
          <w:highlight w:val="none"/>
        </w:rPr>
        <w:t xml:space="preserve"> 单位负责人签字：</w:t>
      </w:r>
      <w:r>
        <w:rPr>
          <w:rFonts w:hint="eastAsia" w:ascii="Times New Roman" w:hAnsi="Times New Roman" w:eastAsia="仿宋_GB2312" w:cs="Times New Roman"/>
          <w:sz w:val="22"/>
          <w:szCs w:val="22"/>
          <w:highlight w:val="none"/>
          <w:lang w:val="en-US" w:eastAsia="zh-CN"/>
        </w:rPr>
        <w:t>孙建光</w:t>
      </w:r>
      <w:r>
        <w:rPr>
          <w:rFonts w:hint="default" w:ascii="Times New Roman" w:hAnsi="Times New Roman" w:eastAsia="仿宋_GB2312" w:cs="Times New Roman"/>
          <w:sz w:val="22"/>
          <w:szCs w:val="22"/>
          <w:highlight w:val="none"/>
        </w:rPr>
        <w:br w:type="page"/>
      </w:r>
    </w:p>
    <w:p>
      <w:pPr>
        <w:jc w:val="center"/>
        <w:rPr>
          <w:rFonts w:hint="eastAsia" w:ascii="方正小标宋简体" w:hAnsi="方正小标宋简体" w:eastAsia="方正小标宋简体" w:cs="方正小标宋简体"/>
          <w:sz w:val="44"/>
          <w:szCs w:val="44"/>
          <w:highlight w:val="none"/>
        </w:rPr>
      </w:pPr>
      <w:bookmarkStart w:id="0" w:name="_GoBack"/>
      <w:bookmarkEnd w:id="0"/>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君山区交通运输综合行政执法大队</w:t>
      </w:r>
      <w:r>
        <w:rPr>
          <w:rFonts w:hint="eastAsia" w:ascii="方正小标宋简体" w:hAnsi="方正小标宋简体" w:eastAsia="方正小标宋简体" w:cs="方正小标宋简体"/>
          <w:sz w:val="44"/>
          <w:szCs w:val="44"/>
          <w:highlight w:val="none"/>
        </w:rPr>
        <w:t>整体支出绩效自评报告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jc w:val="center"/>
        <w:rPr>
          <w:rFonts w:hint="eastAsia"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君山区交通运输综合行政执法大队</w:t>
      </w:r>
      <w:r>
        <w:rPr>
          <w:rFonts w:hint="eastAsia" w:ascii="方正小标宋简体" w:hAnsi="方正小标宋简体" w:eastAsia="方正小标宋简体" w:cs="方正小标宋简体"/>
          <w:sz w:val="44"/>
          <w:szCs w:val="44"/>
          <w:highlight w:val="none"/>
        </w:rPr>
        <w:t>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pPr>
        <w:widowControl/>
        <w:spacing w:line="600" w:lineRule="exact"/>
        <w:ind w:firstLine="627" w:firstLineChars="196"/>
        <w:jc w:val="left"/>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一)宣传贯彻执行国家、省、市、区和上级交通主管部门有关交通运输行政执法(含道路运输、公路路政、城市客运、港口航务、交通工程质量安全监督等)的方针、政策和法律法规规章;参与拟订全区交通运输综合行政执法规范性文件草案;参与编制全区交通运输综合行政执法规划;拟定全区交通运输综合行政执法工作计划，并组织实施。</w:t>
      </w:r>
    </w:p>
    <w:p>
      <w:pPr>
        <w:widowControl/>
        <w:spacing w:line="600" w:lineRule="exact"/>
        <w:ind w:firstLine="627" w:firstLineChars="196"/>
        <w:jc w:val="left"/>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二)依法行使有关法律法规赋予的公路路政、道路运政、城市客运、港口航务、交通工程质量安全监督等交通运输领域的行政处罚权以及与行政处罚相关的行政检查、行政强制等行政执法职能(不包括行使侵占城市道路、违法停放车辆等城市管理行政执法职能).</w:t>
      </w:r>
    </w:p>
    <w:p>
      <w:pPr>
        <w:widowControl/>
        <w:spacing w:line="600" w:lineRule="exact"/>
        <w:ind w:firstLine="627" w:firstLineChars="196"/>
        <w:jc w:val="left"/>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三)负责全区交通运输综合行政执法的组织、指挥、协调;依法制定全区交通运输综合行政执法的程序、标准、规定并组织实施;负责全区重大复杂交通运输违法案件、跨乡镇、街道交通运输违法案件;承担交通运输综合行政执法有关信访举报、服务投诉及违章抄告等事项的受理、处理等工作。</w:t>
      </w:r>
    </w:p>
    <w:p>
      <w:pPr>
        <w:widowControl/>
        <w:spacing w:line="600" w:lineRule="exact"/>
        <w:ind w:firstLine="627" w:firstLineChars="196"/>
        <w:jc w:val="left"/>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(四)负责依法对交通运输市场主体及从业人员的经营行为实施监督检查，纠正违章违规经营行为，治理货运车辆超限运输，联合整治非法营运，维护交通运输市场秩序。</w:t>
      </w:r>
    </w:p>
    <w:p>
      <w:pPr>
        <w:widowControl/>
        <w:spacing w:line="600" w:lineRule="exact"/>
        <w:ind w:firstLine="627" w:firstLineChars="196"/>
        <w:jc w:val="left"/>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(五)参与交通运输行业诚信体系建设，做好道路运输、城市客运行业质量信誉考核工作。</w:t>
      </w:r>
    </w:p>
    <w:p>
      <w:pPr>
        <w:widowControl/>
        <w:spacing w:line="600" w:lineRule="exact"/>
        <w:ind w:firstLine="627" w:firstLineChars="196"/>
        <w:jc w:val="left"/>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(六)参与全区节假日运输、重大物资运输、抢险救灾、交通战备等应急运输保障工作;配合相关部门做好联合运输工作。</w:t>
      </w:r>
    </w:p>
    <w:p>
      <w:pPr>
        <w:widowControl/>
        <w:spacing w:line="600" w:lineRule="exact"/>
        <w:ind w:firstLine="627" w:firstLineChars="196"/>
        <w:jc w:val="left"/>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(七)组织或参与跨行业、跨地区联合执法行动。</w:t>
      </w:r>
    </w:p>
    <w:p>
      <w:pPr>
        <w:widowControl/>
        <w:spacing w:line="600" w:lineRule="exact"/>
        <w:ind w:firstLine="627" w:firstLineChars="196"/>
        <w:jc w:val="left"/>
        <w:rPr>
          <w:rFonts w:hint="default" w:ascii="Times New Roman" w:hAnsi="Times New Roman" w:eastAsia="黑体" w:cs="Times New Roman"/>
          <w:sz w:val="32"/>
          <w:szCs w:val="32"/>
          <w:highlight w:val="none"/>
        </w:rPr>
      </w:pPr>
      <w:r>
        <w:rPr>
          <w:rFonts w:hint="eastAsia" w:ascii="仿宋" w:hAnsi="仿宋" w:eastAsia="仿宋" w:cs="仿宋"/>
          <w:b w:val="0"/>
          <w:sz w:val="32"/>
          <w:szCs w:val="32"/>
          <w:lang w:val="en-US" w:eastAsia="zh-CN"/>
        </w:rPr>
        <w:t>(八)完成上级部门交办的其他工作。</w:t>
      </w:r>
    </w:p>
    <w:p>
      <w:pPr>
        <w:keepNext w:val="0"/>
        <w:keepLines w:val="0"/>
        <w:pageBreakBefore w:val="0"/>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rPr>
      </w:pP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6"/>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b w:val="0"/>
          <w:bCs/>
          <w:sz w:val="32"/>
          <w:szCs w:val="32"/>
          <w:highlight w:val="none"/>
          <w:lang w:val="en-US" w:eastAsia="zh-CN"/>
        </w:rPr>
      </w:pPr>
      <w:r>
        <w:rPr>
          <w:rFonts w:hint="eastAsia" w:ascii="仿宋" w:hAnsi="仿宋" w:eastAsia="仿宋" w:cs="仿宋"/>
          <w:b w:val="0"/>
          <w:bCs/>
          <w:sz w:val="32"/>
          <w:szCs w:val="32"/>
          <w:highlight w:val="none"/>
          <w:lang w:val="en-US" w:eastAsia="zh-CN"/>
        </w:rPr>
        <w:t>基本支出1319.3万元，其中工资性支出782.15万元，社会保险缴费152.19万元，住房公积金70.46万元，其他工资附加性支出25.49万元，对个人和家庭补助4.6万元，公用经费104.4万元，其他运转类180万元。</w:t>
      </w:r>
    </w:p>
    <w:p>
      <w:pPr>
        <w:pStyle w:val="6"/>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楷体_GB2312" w:cs="Times New Roman"/>
          <w:b w:val="0"/>
          <w:bCs/>
          <w:sz w:val="32"/>
          <w:szCs w:val="32"/>
          <w:highlight w:val="none"/>
          <w:lang w:val="en-US" w:eastAsia="zh-CN"/>
        </w:rPr>
      </w:pPr>
      <w:r>
        <w:rPr>
          <w:rFonts w:hint="eastAsia" w:ascii="Times New Roman" w:hAnsi="Times New Roman" w:eastAsia="楷体_GB2312" w:cs="Times New Roman"/>
          <w:b w:val="0"/>
          <w:bCs/>
          <w:sz w:val="32"/>
          <w:szCs w:val="32"/>
          <w:highlight w:val="none"/>
          <w:lang w:val="en-US" w:eastAsia="zh-CN"/>
        </w:rPr>
        <w:t>无</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无</w:t>
      </w:r>
    </w:p>
    <w:p>
      <w:pPr>
        <w:pStyle w:val="6"/>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无</w:t>
      </w:r>
    </w:p>
    <w:p>
      <w:pPr>
        <w:pStyle w:val="6"/>
        <w:keepNext w:val="0"/>
        <w:keepLines w:val="0"/>
        <w:pageBreakBefore w:val="0"/>
        <w:widowControl/>
        <w:numPr>
          <w:ilvl w:val="0"/>
          <w:numId w:val="3"/>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无</w:t>
      </w:r>
    </w:p>
    <w:p>
      <w:pPr>
        <w:keepNext w:val="0"/>
        <w:keepLines w:val="0"/>
        <w:pageBreakBefore w:val="0"/>
        <w:widowControl/>
        <w:numPr>
          <w:ilvl w:val="0"/>
          <w:numId w:val="3"/>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部门整体支出绩效情况</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仿宋" w:hAnsi="仿宋" w:eastAsia="仿宋" w:cs="仿宋"/>
          <w:sz w:val="32"/>
          <w:szCs w:val="32"/>
          <w:highlight w:val="none"/>
          <w:lang w:val="en-US" w:eastAsia="zh-CN"/>
        </w:rPr>
      </w:pPr>
      <w:r>
        <w:rPr>
          <w:rFonts w:hint="eastAsia" w:eastAsia="仿宋" w:cs="仿宋"/>
          <w:sz w:val="32"/>
          <w:szCs w:val="32"/>
          <w:highlight w:val="none"/>
          <w:lang w:val="en-US" w:eastAsia="zh-CN"/>
        </w:rPr>
        <w:t>预期</w:t>
      </w:r>
      <w:r>
        <w:rPr>
          <w:rFonts w:hint="eastAsia" w:ascii="仿宋" w:hAnsi="仿宋" w:eastAsia="仿宋" w:cs="仿宋"/>
          <w:sz w:val="32"/>
          <w:szCs w:val="32"/>
          <w:highlight w:val="none"/>
        </w:rPr>
        <w:t>目标1：严厉查处超载超限行为，保障交通运输行政执法工作有序开展。目标2：做好交通运输安全执法工作。目标3：受理、查处全区交通运输行政执法有关的投诉举报及处理。目标4：严格控制工作经费的使用进度、使用范围，确保工作正常运转。</w:t>
      </w:r>
      <w:r>
        <w:rPr>
          <w:rFonts w:hint="eastAsia" w:eastAsia="仿宋" w:cs="仿宋"/>
          <w:sz w:val="32"/>
          <w:szCs w:val="32"/>
          <w:highlight w:val="none"/>
          <w:lang w:val="en-US" w:eastAsia="zh-CN"/>
        </w:rPr>
        <w:t>实际完成交通运输行政执法检查工作12次；全面加强交通运输安全执法检查工作12次；道路运输行业“隐患清零”行动12次，交通问题顽瘴痼疾整治90分以上；交通运输行业检查12次，项目完成及时率100%。</w:t>
      </w:r>
    </w:p>
    <w:p>
      <w:pPr>
        <w:pStyle w:val="6"/>
        <w:keepNext w:val="0"/>
        <w:keepLines w:val="0"/>
        <w:pageBreakBefore w:val="0"/>
        <w:widowControl/>
        <w:numPr>
          <w:ilvl w:val="0"/>
          <w:numId w:val="3"/>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存在的问题及原因分析</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eastAsia" w:eastAsia="仿宋" w:cs="仿宋"/>
          <w:sz w:val="32"/>
          <w:szCs w:val="32"/>
          <w:highlight w:val="none"/>
          <w:lang w:val="en-US" w:eastAsia="zh-CN"/>
        </w:rPr>
        <w:t>交通问题顽瘴痼疾整治90分以上，未达到要求92分，主要由于检查工作不够细致，检查范围不广。</w:t>
      </w:r>
    </w:p>
    <w:p>
      <w:pPr>
        <w:keepNext w:val="0"/>
        <w:keepLines w:val="0"/>
        <w:pageBreakBefore w:val="0"/>
        <w:widowControl/>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eastAsia" w:ascii="仿宋" w:hAnsi="仿宋" w:eastAsia="仿宋" w:cs="仿宋"/>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w:t>
      </w:r>
      <w:r>
        <w:rPr>
          <w:rFonts w:hint="eastAsia" w:ascii="仿宋" w:hAnsi="仿宋" w:eastAsia="仿宋" w:cs="仿宋"/>
          <w:sz w:val="32"/>
          <w:szCs w:val="32"/>
          <w:highlight w:val="none"/>
          <w:lang w:val="en-US" w:eastAsia="zh-CN"/>
        </w:rPr>
        <w:t>进一步加强“隐患清零”行动检查次数，扩大检查范围</w:t>
      </w:r>
      <w:r>
        <w:rPr>
          <w:rFonts w:hint="eastAsia" w:eastAsia="仿宋" w:cs="仿宋"/>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无</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highlight w:val="none"/>
          <w:lang w:val="en-US" w:eastAsia="zh-CN"/>
        </w:rPr>
      </w:pPr>
      <w:r>
        <w:rPr>
          <w:rFonts w:hint="eastAsia" w:ascii="仿宋_GB2312" w:hAnsi="仿宋_GB2312" w:eastAsia="仿宋_GB2312" w:cs="仿宋_GB2312"/>
          <w:sz w:val="32"/>
          <w:szCs w:val="3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pPr>
        <w:spacing w:before="120" w:beforeLines="50" w:after="120" w:afterLines="50"/>
        <w:jc w:val="center"/>
        <w:rPr>
          <w:rFonts w:hint="eastAsia" w:ascii="方正小标宋简体" w:hAnsi="方正小标宋简体" w:eastAsia="方正小标宋简体" w:cs="方正小标宋简体"/>
          <w:spacing w:val="-6"/>
          <w:sz w:val="36"/>
          <w:szCs w:val="36"/>
          <w:highlight w:val="none"/>
        </w:rPr>
      </w:pPr>
      <w:r>
        <w:rPr>
          <w:rFonts w:hint="eastAsia" w:ascii="方正小标宋简体" w:hAnsi="方正小标宋简体" w:eastAsia="方正小标宋简体" w:cs="方正小标宋简体"/>
          <w:sz w:val="36"/>
          <w:szCs w:val="36"/>
          <w:highlight w:val="none"/>
        </w:rPr>
        <w:t>部门整体支出</w:t>
      </w:r>
      <w:r>
        <w:rPr>
          <w:rFonts w:hint="eastAsia" w:ascii="方正小标宋简体" w:hAnsi="方正小标宋简体" w:eastAsia="方正小标宋简体" w:cs="方正小标宋简体"/>
          <w:spacing w:val="-6"/>
          <w:sz w:val="36"/>
          <w:szCs w:val="36"/>
          <w:highlight w:val="none"/>
        </w:rPr>
        <w:t>绩效自评工作考核评分表</w:t>
      </w:r>
    </w:p>
    <w:tbl>
      <w:tblPr>
        <w:tblStyle w:val="3"/>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布置工作</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自评通知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印发绩效自评通知的得2分，否则不得分。</w:t>
            </w:r>
          </w:p>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绩效自评通知盖章的电子版</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工作小组</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本部门、本单位预算绩效管理领导小组</w:t>
            </w:r>
            <w:r>
              <w:rPr>
                <w:rFonts w:hint="default" w:ascii="Times New Roman" w:hAnsi="Times New Roman" w:eastAsia="仿宋_GB2312" w:cs="Times New Roman"/>
                <w:spacing w:val="0"/>
                <w:sz w:val="20"/>
                <w:szCs w:val="20"/>
                <w:highlight w:val="none"/>
                <w:lang w:val="en-US" w:eastAsia="zh-CN"/>
              </w:rPr>
              <w:t>/</w:t>
            </w:r>
            <w:r>
              <w:rPr>
                <w:rFonts w:hint="default" w:ascii="Times New Roman" w:hAnsi="Times New Roman" w:eastAsia="仿宋_GB2312" w:cs="Times New Roman"/>
                <w:sz w:val="20"/>
                <w:szCs w:val="20"/>
                <w:highlight w:val="none"/>
              </w:rPr>
              <w:t>绩效评价工作小组</w:t>
            </w:r>
            <w:r>
              <w:rPr>
                <w:rFonts w:hint="default" w:ascii="Times New Roman" w:hAnsi="Times New Roman" w:eastAsia="仿宋_GB2312" w:cs="Times New Roman"/>
                <w:sz w:val="20"/>
                <w:szCs w:val="20"/>
                <w:highlight w:val="none"/>
                <w:lang w:eastAsia="zh-CN"/>
              </w:rPr>
              <w:t>有关</w:t>
            </w:r>
            <w:r>
              <w:rPr>
                <w:rFonts w:hint="default" w:ascii="Times New Roman" w:hAnsi="Times New Roman" w:eastAsia="仿宋_GB2312" w:cs="Times New Roman"/>
                <w:spacing w:val="0"/>
                <w:sz w:val="20"/>
                <w:szCs w:val="20"/>
                <w:highlight w:val="none"/>
              </w:rPr>
              <w:t>文件</w:t>
            </w:r>
            <w:r>
              <w:rPr>
                <w:rFonts w:hint="default" w:ascii="Times New Roman" w:hAnsi="Times New Roman" w:eastAsia="仿宋_GB2312" w:cs="Times New Roman"/>
                <w:sz w:val="20"/>
                <w:szCs w:val="20"/>
                <w:highlight w:val="none"/>
              </w:rPr>
              <w:t>盖章的电子版</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实施评价</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单位自查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eastAsia="zh-CN"/>
              </w:rPr>
              <w:t>市级</w:t>
            </w:r>
            <w:r>
              <w:rPr>
                <w:rFonts w:hint="default" w:ascii="Times New Roman" w:hAnsi="Times New Roman" w:eastAsia="仿宋_GB2312" w:cs="Times New Roman"/>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5"/>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转移支付项目单位名称和资</w:t>
            </w:r>
            <w:r>
              <w:rPr>
                <w:rFonts w:hint="eastAsia" w:ascii="Times New Roman" w:hAnsi="Times New Roman" w:eastAsia="仿宋_GB2312" w:cs="Times New Roman"/>
                <w:sz w:val="20"/>
                <w:szCs w:val="20"/>
                <w:highlight w:val="none"/>
                <w:lang w:val="en-US" w:eastAsia="zh-CN"/>
              </w:rPr>
              <w:t xml:space="preserve"> </w:t>
            </w:r>
            <w:r>
              <w:rPr>
                <w:rFonts w:hint="default" w:ascii="Times New Roman" w:hAnsi="Times New Roman" w:eastAsia="仿宋_GB2312" w:cs="Times New Roman"/>
                <w:sz w:val="20"/>
                <w:szCs w:val="20"/>
                <w:highlight w:val="none"/>
              </w:rPr>
              <w:t>金情况清单</w:t>
            </w:r>
          </w:p>
          <w:p>
            <w:pPr>
              <w:numPr>
                <w:ilvl w:val="0"/>
                <w:numId w:val="5"/>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有转移支付资金的各</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提交报告</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按时向</w:t>
            </w:r>
            <w:r>
              <w:rPr>
                <w:rFonts w:hint="eastAsia" w:ascii="Times New Roman" w:hAnsi="Times New Roman" w:eastAsia="仿宋_GB2312" w:cs="Times New Roman"/>
                <w:sz w:val="20"/>
                <w:szCs w:val="20"/>
                <w:highlight w:val="none"/>
                <w:lang w:eastAsia="zh-CN"/>
              </w:rPr>
              <w:t>市财政局</w:t>
            </w:r>
            <w:r>
              <w:rPr>
                <w:rFonts w:hint="default" w:ascii="Times New Roman" w:hAnsi="Times New Roman" w:eastAsia="仿宋_GB2312" w:cs="Times New Roman"/>
                <w:sz w:val="20"/>
                <w:szCs w:val="20"/>
                <w:highlight w:val="none"/>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自评报告</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完整性</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绩效自评报告正文部分内容齐全的，得8分；否则每少一个部分扣2分，最多扣8分。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绩效自评报告附件部分内容齐全的，得7分；否则每少一个部分扣2分，最多扣7分。</w:t>
            </w:r>
          </w:p>
        </w:tc>
      </w:tr>
      <w:tr>
        <w:tblPrEx>
          <w:tblCellMar>
            <w:top w:w="0" w:type="dxa"/>
            <w:left w:w="108" w:type="dxa"/>
            <w:bottom w:w="0" w:type="dxa"/>
            <w:right w:w="108" w:type="dxa"/>
          </w:tblCellMar>
        </w:tblPrEx>
        <w:trPr>
          <w:trHeight w:val="2143"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自评表</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highlight w:val="none"/>
                <w:lang w:eastAsia="zh-CN"/>
              </w:rPr>
              <w:t>岳阳市市级</w:t>
            </w:r>
            <w:r>
              <w:rPr>
                <w:rFonts w:hint="default" w:ascii="Times New Roman" w:hAnsi="Times New Roman" w:eastAsia="仿宋_GB2312" w:cs="Times New Roman"/>
                <w:sz w:val="20"/>
                <w:szCs w:val="20"/>
                <w:highlight w:val="none"/>
              </w:rPr>
              <w:t>预算部门绩效自评操作规程》要求的，得5分，否则按比例扣除相应的分数。</w:t>
            </w:r>
          </w:p>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3</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19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highlight w:val="none"/>
              </w:rPr>
            </w:pP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反映问</w:t>
            </w: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题情况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62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495"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lang w:val="en-US" w:eastAsia="zh-CN"/>
              </w:rPr>
            </w:pPr>
            <w:r>
              <w:rPr>
                <w:rFonts w:hint="default" w:ascii="Times New Roman" w:hAnsi="Times New Roman" w:eastAsia="仿宋_GB2312" w:cs="Times New Roman"/>
                <w:sz w:val="20"/>
                <w:szCs w:val="20"/>
                <w:highlight w:val="none"/>
              </w:rPr>
              <w:t>　</w:t>
            </w:r>
            <w:r>
              <w:rPr>
                <w:rFonts w:hint="eastAsia" w:ascii="Times New Roman" w:hAnsi="Times New Roman" w:eastAsia="仿宋_GB2312" w:cs="Times New Roman"/>
                <w:sz w:val="20"/>
                <w:szCs w:val="20"/>
                <w:highlight w:val="none"/>
                <w:lang w:val="en-US" w:eastAsia="zh-CN"/>
              </w:rPr>
              <w:t>98分</w:t>
            </w:r>
          </w:p>
        </w:tc>
      </w:tr>
    </w:tbl>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Times New Roman" w:hAnsi="Times New Roman" w:eastAsia="仿宋_GB2312" w:cs="Times New Roman"/>
          <w:sz w:val="22"/>
          <w:szCs w:val="2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D8791"/>
    <w:multiLevelType w:val="singleLevel"/>
    <w:tmpl w:val="8B3D8791"/>
    <w:lvl w:ilvl="0" w:tentative="0">
      <w:start w:val="4"/>
      <w:numFmt w:val="chineseCounting"/>
      <w:suff w:val="nothing"/>
      <w:lvlText w:val="%1、"/>
      <w:lvlJc w:val="left"/>
      <w:rPr>
        <w:rFonts w:hint="eastAsia"/>
      </w:rPr>
    </w:lvl>
  </w:abstractNum>
  <w:abstractNum w:abstractNumId="1">
    <w:nsid w:val="D5E8EEE1"/>
    <w:multiLevelType w:val="singleLevel"/>
    <w:tmpl w:val="D5E8EEE1"/>
    <w:lvl w:ilvl="0" w:tentative="0">
      <w:start w:val="2"/>
      <w:numFmt w:val="chineseCounting"/>
      <w:suff w:val="nothing"/>
      <w:lvlText w:val="（%1）"/>
      <w:lvlJc w:val="left"/>
      <w:rPr>
        <w:rFonts w:hint="eastAsia"/>
      </w:rPr>
    </w:lvl>
  </w:abstractNum>
  <w:abstractNum w:abstractNumId="2">
    <w:nsid w:val="F626E251"/>
    <w:multiLevelType w:val="singleLevel"/>
    <w:tmpl w:val="F626E251"/>
    <w:lvl w:ilvl="0" w:tentative="0">
      <w:start w:val="1"/>
      <w:numFmt w:val="chineseCounting"/>
      <w:suff w:val="nothing"/>
      <w:lvlText w:val="%1、"/>
      <w:lvlJc w:val="left"/>
      <w:rPr>
        <w:rFonts w:hint="eastAsia"/>
      </w:rPr>
    </w:lvl>
  </w:abstractNum>
  <w:abstractNum w:abstractNumId="3">
    <w:nsid w:val="03341D22"/>
    <w:multiLevelType w:val="singleLevel"/>
    <w:tmpl w:val="03341D22"/>
    <w:lvl w:ilvl="0" w:tentative="0">
      <w:start w:val="8"/>
      <w:numFmt w:val="chineseCounting"/>
      <w:suff w:val="nothing"/>
      <w:lvlText w:val="%1、"/>
      <w:lvlJc w:val="left"/>
      <w:rPr>
        <w:rFonts w:hint="eastAsia"/>
      </w:rPr>
    </w:lvl>
  </w:abstractNum>
  <w:abstractNum w:abstractNumId="4">
    <w:nsid w:val="5DDF8822"/>
    <w:multiLevelType w:val="singleLevel"/>
    <w:tmpl w:val="5DDF8822"/>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g4ZjEyNjc1NTM1YjI2NWQ0MWI0ZDY5NWMyOWMifQ=="/>
  </w:docVars>
  <w:rsids>
    <w:rsidRoot w:val="59886344"/>
    <w:rsid w:val="00BA3141"/>
    <w:rsid w:val="02D85ECB"/>
    <w:rsid w:val="0DCD1B79"/>
    <w:rsid w:val="10742115"/>
    <w:rsid w:val="16E42186"/>
    <w:rsid w:val="22E546B9"/>
    <w:rsid w:val="287340E9"/>
    <w:rsid w:val="29BB698E"/>
    <w:rsid w:val="2B06545F"/>
    <w:rsid w:val="2BB37649"/>
    <w:rsid w:val="2E2B0F83"/>
    <w:rsid w:val="2F040DFD"/>
    <w:rsid w:val="36BE00B0"/>
    <w:rsid w:val="373C2D78"/>
    <w:rsid w:val="39395D34"/>
    <w:rsid w:val="4BE44447"/>
    <w:rsid w:val="50F53EFC"/>
    <w:rsid w:val="57EE5616"/>
    <w:rsid w:val="59886344"/>
    <w:rsid w:val="640D4B5C"/>
    <w:rsid w:val="66FE568B"/>
    <w:rsid w:val="6B1B42CF"/>
    <w:rsid w:val="724203AC"/>
    <w:rsid w:val="788A2217"/>
    <w:rsid w:val="79733540"/>
    <w:rsid w:val="7EE67CD6"/>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 w:hAnsi="仿宋" w:eastAsia="宋体" w:cs="Times New Roman"/>
      <w:kern w:val="0"/>
      <w:sz w:val="28"/>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paragraph" w:customStyle="1" w:styleId="5">
    <w:name w:val="列出段落1"/>
    <w:basedOn w:val="1"/>
    <w:autoRedefine/>
    <w:qFormat/>
    <w:uiPriority w:val="34"/>
    <w:pPr>
      <w:ind w:firstLine="420" w:firstLineChars="200"/>
    </w:pPr>
  </w:style>
  <w:style w:type="paragraph" w:styleId="6">
    <w:name w:val="List Paragraph"/>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SDDD</cp:lastModifiedBy>
  <dcterms:modified xsi:type="dcterms:W3CDTF">2024-06-28T03:38:32Z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6182D3A10D564617983F46DEE354AEAF</vt:lpwstr>
  </property>
</Properties>
</file>